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wordWrap/>
        <w:adjustRightInd/>
        <w:snapToGrid/>
        <w:ind w:firstLine="0" w:firstLineChars="0"/>
        <w:jc w:val="center"/>
        <w:textAlignment w:val="auto"/>
        <w:rPr>
          <w:rFonts w:hint="default" w:ascii="Times New Roman" w:hAnsi="Times New Roman" w:eastAsia="仿宋" w:cs="Times New Roman"/>
          <w:b/>
          <w:color w:val="auto"/>
          <w:sz w:val="32"/>
          <w:szCs w:val="32"/>
          <w:highlight w:val="none"/>
          <w:u w:val="none"/>
          <w:lang w:val="en-US" w:eastAsia="zh-CN"/>
        </w:rPr>
      </w:pPr>
    </w:p>
    <w:p>
      <w:pPr>
        <w:widowControl w:val="0"/>
        <w:wordWrap/>
        <w:adjustRightInd/>
        <w:snapToGrid/>
        <w:ind w:firstLine="0" w:firstLineChars="0"/>
        <w:jc w:val="center"/>
        <w:textAlignment w:val="auto"/>
        <w:rPr>
          <w:rFonts w:hint="default" w:ascii="Times New Roman" w:hAnsi="Times New Roman" w:eastAsia="仿宋" w:cs="Times New Roman"/>
          <w:b/>
          <w:color w:val="auto"/>
          <w:sz w:val="32"/>
          <w:szCs w:val="32"/>
          <w:highlight w:val="none"/>
          <w:u w:val="none"/>
          <w:lang w:val="en-US" w:eastAsia="zh-CN"/>
        </w:rPr>
      </w:pPr>
    </w:p>
    <w:p>
      <w:pPr>
        <w:widowControl w:val="0"/>
        <w:wordWrap/>
        <w:adjustRightInd/>
        <w:snapToGrid/>
        <w:ind w:firstLine="0" w:firstLineChars="0"/>
        <w:jc w:val="center"/>
        <w:textAlignment w:val="auto"/>
        <w:rPr>
          <w:rFonts w:hint="default" w:ascii="Times New Roman" w:hAnsi="Times New Roman" w:eastAsia="仿宋" w:cs="Times New Roman"/>
          <w:b/>
          <w:color w:val="auto"/>
          <w:sz w:val="32"/>
          <w:szCs w:val="32"/>
          <w:highlight w:val="none"/>
          <w:u w:val="none"/>
          <w:lang w:val="en-US" w:eastAsia="zh-CN"/>
        </w:rPr>
      </w:pPr>
    </w:p>
    <w:p>
      <w:pPr>
        <w:widowControl w:val="0"/>
        <w:wordWrap/>
        <w:adjustRightInd/>
        <w:snapToGrid/>
        <w:ind w:firstLine="0" w:firstLineChars="0"/>
        <w:jc w:val="center"/>
        <w:textAlignment w:val="auto"/>
        <w:rPr>
          <w:rFonts w:hint="default" w:ascii="Times New Roman" w:hAnsi="Times New Roman" w:eastAsia="仿宋" w:cs="Times New Roman"/>
          <w:b/>
          <w:color w:val="auto"/>
          <w:sz w:val="44"/>
          <w:szCs w:val="44"/>
          <w:highlight w:val="none"/>
          <w:u w:val="none"/>
          <w:lang w:val="en-US" w:eastAsia="zh-CN"/>
        </w:rPr>
      </w:pPr>
    </w:p>
    <w:p>
      <w:pPr>
        <w:widowControl w:val="0"/>
        <w:wordWrap/>
        <w:adjustRightInd/>
        <w:snapToGrid/>
        <w:ind w:firstLine="0" w:firstLineChars="0"/>
        <w:jc w:val="center"/>
        <w:textAlignment w:val="auto"/>
        <w:rPr>
          <w:rFonts w:hint="default" w:ascii="Times New Roman" w:hAnsi="Times New Roman" w:eastAsia="仿宋" w:cs="Times New Roman"/>
          <w:b/>
          <w:color w:val="auto"/>
          <w:sz w:val="44"/>
          <w:szCs w:val="44"/>
          <w:highlight w:val="none"/>
          <w:u w:val="none"/>
          <w:lang w:val="en-US" w:eastAsia="zh-CN"/>
        </w:rPr>
      </w:pPr>
      <w:r>
        <w:rPr>
          <w:rFonts w:hint="default" w:ascii="Times New Roman" w:hAnsi="Times New Roman" w:eastAsia="仿宋" w:cs="Times New Roman"/>
          <w:b/>
          <w:color w:val="auto"/>
          <w:sz w:val="44"/>
          <w:szCs w:val="44"/>
          <w:highlight w:val="none"/>
          <w:u w:val="none"/>
          <w:lang w:val="en-US" w:eastAsia="zh-CN"/>
        </w:rPr>
        <w:t>《山西省垃圾焚烧发电中长期专项规划（2023年修订）》</w:t>
      </w:r>
    </w:p>
    <w:p>
      <w:pPr>
        <w:rPr>
          <w:rFonts w:hint="default" w:ascii="Times New Roman" w:hAnsi="Times New Roman" w:eastAsia="仿宋" w:cs="Times New Roman"/>
          <w:color w:val="auto"/>
          <w:highlight w:val="none"/>
          <w:u w:val="none"/>
          <w:lang w:val="en-US" w:eastAsia="zh-CN"/>
        </w:rPr>
      </w:pPr>
    </w:p>
    <w:p>
      <w:pPr>
        <w:rPr>
          <w:rFonts w:hint="default" w:ascii="Times New Roman" w:hAnsi="Times New Roman" w:eastAsia="仿宋" w:cs="Times New Roman"/>
          <w:color w:val="auto"/>
          <w:highlight w:val="none"/>
          <w:u w:val="none"/>
          <w:lang w:val="en-US" w:eastAsia="zh-CN"/>
        </w:rPr>
      </w:pPr>
    </w:p>
    <w:p>
      <w:pPr>
        <w:pStyle w:val="2"/>
        <w:rPr>
          <w:rFonts w:hint="default" w:ascii="Times New Roman" w:hAnsi="Times New Roman" w:eastAsia="仿宋" w:cs="Times New Roman"/>
          <w:color w:val="auto"/>
          <w:highlight w:val="none"/>
          <w:u w:val="none"/>
          <w:lang w:val="en-US" w:eastAsia="zh-CN"/>
        </w:rPr>
      </w:pPr>
    </w:p>
    <w:p>
      <w:pPr>
        <w:rPr>
          <w:rFonts w:hint="default" w:ascii="Times New Roman" w:hAnsi="Times New Roman" w:eastAsia="仿宋" w:cs="Times New Roman"/>
          <w:color w:val="auto"/>
          <w:highlight w:val="none"/>
          <w:u w:val="none"/>
          <w:lang w:val="en-US" w:eastAsia="zh-CN"/>
        </w:rPr>
      </w:pPr>
    </w:p>
    <w:p>
      <w:pPr>
        <w:pStyle w:val="2"/>
        <w:rPr>
          <w:rFonts w:hint="default" w:ascii="Times New Roman" w:hAnsi="Times New Roman" w:eastAsia="仿宋" w:cs="Times New Roman"/>
          <w:color w:val="auto"/>
          <w:highlight w:val="none"/>
          <w:u w:val="none"/>
          <w:lang w:val="en-US" w:eastAsia="zh-CN"/>
        </w:rPr>
      </w:pPr>
    </w:p>
    <w:p>
      <w:pPr>
        <w:rPr>
          <w:rFonts w:hint="default" w:ascii="Times New Roman" w:hAnsi="Times New Roman" w:eastAsia="仿宋" w:cs="Times New Roman"/>
          <w:color w:val="auto"/>
          <w:highlight w:val="none"/>
          <w:u w:val="none"/>
          <w:lang w:val="en-US" w:eastAsia="zh-CN"/>
        </w:rPr>
      </w:pPr>
    </w:p>
    <w:p>
      <w:pPr>
        <w:pStyle w:val="2"/>
        <w:rPr>
          <w:rFonts w:hint="default" w:ascii="Times New Roman" w:hAnsi="Times New Roman" w:eastAsia="仿宋" w:cs="Times New Roman"/>
          <w:color w:val="auto"/>
          <w:highlight w:val="none"/>
          <w:u w:val="none"/>
          <w:lang w:val="en-US" w:eastAsia="zh-CN"/>
        </w:rPr>
      </w:pPr>
    </w:p>
    <w:p>
      <w:pPr>
        <w:rPr>
          <w:rFonts w:hint="default" w:ascii="Times New Roman" w:hAnsi="Times New Roman" w:eastAsia="仿宋" w:cs="Times New Roman"/>
          <w:color w:val="auto"/>
          <w:highlight w:val="none"/>
          <w:u w:val="none"/>
          <w:lang w:val="en-US" w:eastAsia="zh-CN"/>
        </w:rPr>
      </w:pPr>
    </w:p>
    <w:p>
      <w:pPr>
        <w:pStyle w:val="2"/>
        <w:rPr>
          <w:rFonts w:hint="default" w:ascii="Times New Roman" w:hAnsi="Times New Roman" w:eastAsia="仿宋" w:cs="Times New Roman"/>
          <w:color w:val="auto"/>
          <w:highlight w:val="none"/>
          <w:u w:val="none"/>
          <w:lang w:val="en-US" w:eastAsia="zh-CN"/>
        </w:rPr>
      </w:pPr>
    </w:p>
    <w:p>
      <w:pPr>
        <w:rPr>
          <w:rFonts w:hint="default" w:ascii="Times New Roman" w:hAnsi="Times New Roman" w:eastAsia="仿宋" w:cs="Times New Roman"/>
          <w:color w:val="auto"/>
          <w:highlight w:val="none"/>
          <w:u w:val="none"/>
          <w:lang w:val="en-US" w:eastAsia="zh-CN"/>
        </w:rPr>
      </w:pPr>
    </w:p>
    <w:p>
      <w:pPr>
        <w:rPr>
          <w:rFonts w:hint="default" w:ascii="Times New Roman" w:hAnsi="Times New Roman" w:eastAsia="仿宋" w:cs="Times New Roman"/>
          <w:color w:val="auto"/>
          <w:highlight w:val="none"/>
          <w:u w:val="none"/>
          <w:lang w:val="en-US" w:eastAsia="zh-CN"/>
        </w:rPr>
      </w:pPr>
    </w:p>
    <w:p>
      <w:pPr>
        <w:pStyle w:val="2"/>
        <w:rPr>
          <w:rFonts w:hint="default" w:ascii="Times New Roman" w:hAnsi="Times New Roman" w:eastAsia="仿宋" w:cs="Times New Roman"/>
          <w:color w:val="auto"/>
          <w:highlight w:val="none"/>
          <w:lang w:val="en-US" w:eastAsia="zh-CN"/>
        </w:rPr>
      </w:pPr>
    </w:p>
    <w:p>
      <w:pPr>
        <w:rPr>
          <w:rFonts w:hint="default" w:ascii="Times New Roman" w:hAnsi="Times New Roman" w:eastAsia="仿宋" w:cs="Times New Roman"/>
          <w:color w:val="auto"/>
          <w:highlight w:val="none"/>
          <w:lang w:val="en-US" w:eastAsia="zh-CN"/>
        </w:rPr>
      </w:pPr>
    </w:p>
    <w:p>
      <w:pPr>
        <w:pStyle w:val="8"/>
        <w:widowControl w:val="0"/>
        <w:shd w:val="clear" w:color="auto" w:fill="auto"/>
        <w:wordWrap/>
        <w:adjustRightInd/>
        <w:snapToGrid/>
        <w:spacing w:before="0" w:line="600" w:lineRule="exact"/>
        <w:ind w:left="0" w:right="0" w:firstLine="0" w:firstLineChars="0"/>
        <w:jc w:val="center"/>
        <w:textAlignment w:val="auto"/>
        <w:outlineLvl w:val="9"/>
        <w:rPr>
          <w:rFonts w:hint="default" w:ascii="Times New Roman" w:hAnsi="Times New Roman" w:eastAsia="仿宋" w:cs="Times New Roman"/>
          <w:color w:val="auto"/>
          <w:highlight w:val="none"/>
          <w:lang w:val="en-US"/>
        </w:rPr>
      </w:pPr>
      <w:bookmarkStart w:id="0" w:name="_Toc15963"/>
      <w:bookmarkStart w:id="1" w:name="_Toc13720"/>
      <w:bookmarkStart w:id="2" w:name="_Toc17135"/>
      <w:bookmarkStart w:id="3" w:name="_Toc12310"/>
      <w:r>
        <w:rPr>
          <w:rFonts w:hint="default" w:ascii="Times New Roman" w:hAnsi="Times New Roman" w:eastAsia="仿宋" w:cs="Times New Roman"/>
          <w:color w:val="auto"/>
          <w:highlight w:val="none"/>
          <w:lang w:val="en-US"/>
        </w:rPr>
        <w:t>山西省发展和改革委员会</w:t>
      </w:r>
      <w:bookmarkEnd w:id="0"/>
      <w:bookmarkEnd w:id="1"/>
      <w:bookmarkEnd w:id="2"/>
      <w:bookmarkEnd w:id="3"/>
    </w:p>
    <w:p>
      <w:pPr>
        <w:pStyle w:val="8"/>
        <w:widowControl w:val="0"/>
        <w:shd w:val="clear" w:color="auto" w:fill="auto"/>
        <w:wordWrap/>
        <w:adjustRightInd/>
        <w:snapToGrid/>
        <w:spacing w:before="0" w:line="600" w:lineRule="exact"/>
        <w:ind w:left="0" w:right="0" w:firstLine="0" w:firstLineChars="0"/>
        <w:jc w:val="center"/>
        <w:textAlignment w:val="auto"/>
        <w:outlineLvl w:val="9"/>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山西省住房和城乡建设厅</w:t>
      </w:r>
    </w:p>
    <w:p>
      <w:pPr>
        <w:pStyle w:val="8"/>
        <w:widowControl w:val="0"/>
        <w:shd w:val="clear" w:color="auto" w:fill="auto"/>
        <w:wordWrap/>
        <w:adjustRightInd/>
        <w:snapToGrid/>
        <w:spacing w:before="0" w:line="600" w:lineRule="exact"/>
        <w:ind w:left="0" w:right="0" w:firstLine="0" w:firstLineChars="0"/>
        <w:jc w:val="center"/>
        <w:textAlignment w:val="auto"/>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202</w:t>
      </w:r>
      <w:r>
        <w:rPr>
          <w:rFonts w:hint="default" w:ascii="Times New Roman" w:hAnsi="Times New Roman" w:eastAsia="仿宋" w:cs="Times New Roman"/>
          <w:color w:val="auto"/>
          <w:highlight w:val="none"/>
          <w:lang w:val="en-US" w:eastAsia="zh-CN"/>
        </w:rPr>
        <w:t>3</w:t>
      </w:r>
      <w:r>
        <w:rPr>
          <w:rFonts w:hint="default" w:ascii="Times New Roman" w:hAnsi="Times New Roman" w:eastAsia="仿宋" w:cs="Times New Roman"/>
          <w:color w:val="auto"/>
          <w:highlight w:val="none"/>
          <w:lang w:val="en-US"/>
        </w:rPr>
        <w:t xml:space="preserve"> 年 </w:t>
      </w:r>
      <w:r>
        <w:rPr>
          <w:rFonts w:hint="eastAsia" w:ascii="Times New Roman" w:hAnsi="Times New Roman" w:eastAsia="仿宋" w:cs="Times New Roman"/>
          <w:color w:val="auto"/>
          <w:highlight w:val="none"/>
          <w:lang w:val="en-US" w:eastAsia="zh-CN"/>
        </w:rPr>
        <w:t>6</w:t>
      </w:r>
      <w:r>
        <w:rPr>
          <w:rFonts w:hint="default" w:ascii="Times New Roman" w:hAnsi="Times New Roman" w:eastAsia="仿宋" w:cs="Times New Roman"/>
          <w:color w:val="auto"/>
          <w:highlight w:val="none"/>
          <w:lang w:val="en-US"/>
        </w:rPr>
        <w:t xml:space="preserve"> 月</w:t>
      </w:r>
    </w:p>
    <w:p>
      <w:pPr>
        <w:pStyle w:val="3"/>
        <w:outlineLvl w:val="9"/>
        <w:rPr>
          <w:rFonts w:hint="default" w:ascii="Times New Roman" w:hAnsi="Times New Roman" w:eastAsia="仿宋" w:cs="Times New Roman"/>
          <w:color w:val="auto"/>
          <w:highlight w:val="none"/>
          <w:u w:val="none"/>
          <w:lang w:val="en-US" w:eastAsia="zh-CN"/>
        </w:rPr>
      </w:pPr>
    </w:p>
    <w:p>
      <w:pPr>
        <w:rPr>
          <w:rFonts w:hint="default" w:ascii="Times New Roman" w:hAnsi="Times New Roman" w:eastAsia="仿宋" w:cs="Times New Roman"/>
          <w:color w:val="auto"/>
          <w:highlight w:val="none"/>
          <w:u w:val="none"/>
          <w:lang w:val="en-US" w:eastAsia="zh-CN"/>
        </w:rPr>
      </w:pPr>
    </w:p>
    <w:p>
      <w:pPr>
        <w:pStyle w:val="3"/>
        <w:outlineLvl w:val="9"/>
        <w:rPr>
          <w:rFonts w:hint="default" w:ascii="Times New Roman" w:hAnsi="Times New Roman" w:eastAsia="仿宋" w:cs="Times New Roman"/>
          <w:color w:val="auto"/>
          <w:highlight w:val="none"/>
          <w:lang w:val="en-US" w:eastAsia="zh-CN"/>
        </w:rPr>
        <w:sectPr>
          <w:footerReference r:id="rId4"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start="1"/>
          <w:cols w:space="720" w:num="1"/>
          <w:docGrid w:type="lines" w:linePitch="312" w:charSpace="0"/>
        </w:sectPr>
      </w:pPr>
    </w:p>
    <w:p>
      <w:pPr>
        <w:rPr>
          <w:rFonts w:hint="default" w:ascii="Times New Roman" w:hAnsi="Times New Roman" w:eastAsia="仿宋" w:cs="Times New Roman"/>
          <w:color w:val="auto"/>
          <w:highlight w:val="none"/>
          <w:u w:val="none"/>
          <w:lang w:val="en-US" w:eastAsia="zh-CN"/>
        </w:rPr>
      </w:pPr>
    </w:p>
    <w:p>
      <w:pPr>
        <w:rPr>
          <w:rFonts w:hint="default" w:ascii="Times New Roman" w:hAnsi="Times New Roman" w:eastAsia="仿宋" w:cs="Times New Roman"/>
          <w:color w:val="auto"/>
          <w:highlight w:val="none"/>
          <w:lang w:val="en-US" w:eastAsia="zh-CN"/>
        </w:rPr>
        <w:sectPr>
          <w:footerReference r:id="rId5"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charSpace="0"/>
        </w:sectPr>
      </w:pPr>
    </w:p>
    <w:p>
      <w:pPr>
        <w:widowControl w:val="0"/>
        <w:wordWrap/>
        <w:adjustRightInd/>
        <w:snapToGrid/>
        <w:spacing w:before="0" w:after="0" w:line="240" w:lineRule="auto"/>
        <w:ind w:left="0" w:leftChars="0" w:right="0" w:firstLine="0" w:firstLineChars="0"/>
        <w:jc w:val="center"/>
        <w:textAlignment w:val="auto"/>
        <w:rPr>
          <w:rFonts w:hint="default" w:ascii="Times New Roman" w:hAnsi="Times New Roman" w:eastAsia="仿宋" w:cs="Times New Roman"/>
          <w:b/>
          <w:color w:val="auto"/>
          <w:kern w:val="2"/>
          <w:sz w:val="32"/>
          <w:szCs w:val="24"/>
          <w:highlight w:val="none"/>
          <w:lang w:val="en-US" w:eastAsia="zh-CN" w:bidi="ar-SA"/>
        </w:rPr>
      </w:pPr>
      <w:r>
        <w:rPr>
          <w:rFonts w:hint="default" w:ascii="Times New Roman" w:hAnsi="Times New Roman" w:eastAsia="黑体" w:cs="Times New Roman"/>
          <w:color w:val="auto"/>
          <w:sz w:val="40"/>
          <w:szCs w:val="40"/>
          <w:highlight w:val="none"/>
        </w:rPr>
        <w:t>目</w:t>
      </w:r>
      <w:r>
        <w:rPr>
          <w:rFonts w:hint="default" w:ascii="Times New Roman" w:hAnsi="Times New Roman" w:eastAsia="黑体" w:cs="Times New Roman"/>
          <w:color w:val="auto"/>
          <w:sz w:val="40"/>
          <w:szCs w:val="40"/>
          <w:highlight w:val="none"/>
          <w:lang w:val="en-US" w:eastAsia="zh-CN"/>
        </w:rPr>
        <w:t xml:space="preserve">  </w:t>
      </w:r>
      <w:r>
        <w:rPr>
          <w:rFonts w:hint="default" w:ascii="Times New Roman" w:hAnsi="Times New Roman" w:eastAsia="黑体" w:cs="Times New Roman"/>
          <w:color w:val="auto"/>
          <w:sz w:val="40"/>
          <w:szCs w:val="40"/>
          <w:highlight w:val="none"/>
        </w:rPr>
        <w:t>录</w:t>
      </w:r>
      <w:r>
        <w:rPr>
          <w:rFonts w:hint="default" w:ascii="Times New Roman" w:hAnsi="Times New Roman" w:eastAsia="仿宋" w:cs="Times New Roman"/>
          <w:color w:val="auto"/>
          <w:highlight w:val="none"/>
          <w:lang w:val="en-US" w:eastAsia="zh-CN"/>
        </w:rPr>
        <w:fldChar w:fldCharType="begin"/>
      </w:r>
      <w:r>
        <w:rPr>
          <w:rFonts w:hint="default" w:ascii="Times New Roman" w:hAnsi="Times New Roman" w:eastAsia="仿宋" w:cs="Times New Roman"/>
          <w:color w:val="auto"/>
          <w:highlight w:val="none"/>
          <w:lang w:val="en-US" w:eastAsia="zh-CN"/>
        </w:rPr>
        <w:instrText xml:space="preserve">TOC \o "1-2" \h \u </w:instrText>
      </w:r>
      <w:r>
        <w:rPr>
          <w:rFonts w:hint="default" w:ascii="Times New Roman" w:hAnsi="Times New Roman" w:eastAsia="仿宋" w:cs="Times New Roman"/>
          <w:color w:val="auto"/>
          <w:highlight w:val="none"/>
          <w:lang w:val="en-US" w:eastAsia="zh-CN"/>
        </w:rPr>
        <w:fldChar w:fldCharType="separate"/>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val="0"/>
          <w:sz w:val="30"/>
          <w:szCs w:val="30"/>
        </w:rPr>
      </w:pPr>
      <w:r>
        <w:rPr>
          <w:rFonts w:hint="default" w:ascii="Times New Roman" w:hAnsi="Times New Roman" w:eastAsia="黑体" w:cs="Times New Roman"/>
          <w:b w:val="0"/>
          <w:bCs w:val="0"/>
          <w:color w:val="auto"/>
          <w:sz w:val="30"/>
          <w:szCs w:val="30"/>
          <w:highlight w:val="none"/>
          <w:lang w:val="en-US" w:eastAsia="zh-CN"/>
        </w:rPr>
        <w:fldChar w:fldCharType="begin"/>
      </w:r>
      <w:r>
        <w:rPr>
          <w:rFonts w:hint="default" w:ascii="Times New Roman" w:hAnsi="Times New Roman" w:eastAsia="黑体" w:cs="Times New Roman"/>
          <w:b w:val="0"/>
          <w:bCs w:val="0"/>
          <w:sz w:val="30"/>
          <w:szCs w:val="30"/>
          <w:highlight w:val="none"/>
          <w:lang w:val="en-US" w:eastAsia="zh-CN"/>
        </w:rPr>
        <w:instrText xml:space="preserve"> HYPERLINK \l _Toc20514 </w:instrText>
      </w:r>
      <w:r>
        <w:rPr>
          <w:rFonts w:hint="default" w:ascii="Times New Roman" w:hAnsi="Times New Roman" w:eastAsia="黑体" w:cs="Times New Roman"/>
          <w:b w:val="0"/>
          <w:bCs w:val="0"/>
          <w:sz w:val="30"/>
          <w:szCs w:val="30"/>
          <w:highlight w:val="none"/>
          <w:lang w:val="en-US" w:eastAsia="zh-CN"/>
        </w:rPr>
        <w:fldChar w:fldCharType="separate"/>
      </w:r>
      <w:r>
        <w:rPr>
          <w:rFonts w:hint="default" w:ascii="Times New Roman" w:hAnsi="Times New Roman" w:eastAsia="黑体" w:cs="Times New Roman"/>
          <w:b w:val="0"/>
          <w:bCs w:val="0"/>
          <w:sz w:val="30"/>
          <w:szCs w:val="30"/>
          <w:lang w:val="en-US" w:eastAsia="zh-CN"/>
        </w:rPr>
        <w:t>一、发展基础</w:t>
      </w:r>
      <w:r>
        <w:rPr>
          <w:rFonts w:hint="default" w:ascii="Times New Roman" w:hAnsi="Times New Roman" w:eastAsia="黑体" w:cs="Times New Roman"/>
          <w:b w:val="0"/>
          <w:bCs w:val="0"/>
          <w:sz w:val="30"/>
          <w:szCs w:val="30"/>
        </w:rPr>
        <w:tab/>
      </w:r>
      <w:r>
        <w:rPr>
          <w:rFonts w:hint="default" w:ascii="Times New Roman" w:hAnsi="Times New Roman" w:eastAsia="黑体" w:cs="Times New Roman"/>
          <w:b w:val="0"/>
          <w:bCs w:val="0"/>
          <w:sz w:val="30"/>
          <w:szCs w:val="30"/>
        </w:rPr>
        <w:fldChar w:fldCharType="begin"/>
      </w:r>
      <w:r>
        <w:rPr>
          <w:rFonts w:hint="default" w:ascii="Times New Roman" w:hAnsi="Times New Roman" w:eastAsia="黑体" w:cs="Times New Roman"/>
          <w:b w:val="0"/>
          <w:bCs w:val="0"/>
          <w:sz w:val="30"/>
          <w:szCs w:val="30"/>
        </w:rPr>
        <w:instrText xml:space="preserve"> PAGEREF _Toc20514 \h </w:instrText>
      </w:r>
      <w:r>
        <w:rPr>
          <w:rFonts w:hint="default" w:ascii="Times New Roman" w:hAnsi="Times New Roman" w:eastAsia="黑体" w:cs="Times New Roman"/>
          <w:b w:val="0"/>
          <w:bCs w:val="0"/>
          <w:sz w:val="30"/>
          <w:szCs w:val="30"/>
        </w:rPr>
        <w:fldChar w:fldCharType="separate"/>
      </w:r>
      <w:r>
        <w:rPr>
          <w:rFonts w:hint="default" w:ascii="Times New Roman" w:hAnsi="Times New Roman" w:eastAsia="黑体" w:cs="Times New Roman"/>
          <w:b w:val="0"/>
          <w:bCs w:val="0"/>
          <w:sz w:val="30"/>
          <w:szCs w:val="30"/>
        </w:rPr>
        <w:t>1</w:t>
      </w:r>
      <w:r>
        <w:rPr>
          <w:rFonts w:hint="default" w:ascii="Times New Roman" w:hAnsi="Times New Roman" w:eastAsia="黑体" w:cs="Times New Roman"/>
          <w:b w:val="0"/>
          <w:bCs w:val="0"/>
          <w:sz w:val="30"/>
          <w:szCs w:val="30"/>
        </w:rPr>
        <w:fldChar w:fldCharType="end"/>
      </w:r>
      <w:r>
        <w:rPr>
          <w:rFonts w:hint="default" w:ascii="Times New Roman" w:hAnsi="Times New Roman" w:eastAsia="黑体" w:cs="Times New Roman"/>
          <w:b w:val="0"/>
          <w:bCs w:val="0"/>
          <w:color w:val="auto"/>
          <w:sz w:val="30"/>
          <w:szCs w:val="30"/>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_Toc714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（一）发展成效</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_Toc714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_Toc1860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（二）存在问题</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_Toc1860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2</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val="0"/>
          <w:sz w:val="30"/>
          <w:szCs w:val="30"/>
        </w:rPr>
      </w:pPr>
      <w:r>
        <w:rPr>
          <w:rFonts w:hint="default" w:ascii="Times New Roman" w:hAnsi="Times New Roman" w:eastAsia="黑体" w:cs="Times New Roman"/>
          <w:b w:val="0"/>
          <w:bCs w:val="0"/>
          <w:color w:val="auto"/>
          <w:sz w:val="30"/>
          <w:szCs w:val="30"/>
          <w:highlight w:val="none"/>
          <w:lang w:val="en-US" w:eastAsia="zh-CN"/>
        </w:rPr>
        <w:fldChar w:fldCharType="begin"/>
      </w:r>
      <w:r>
        <w:rPr>
          <w:rFonts w:hint="default" w:ascii="Times New Roman" w:hAnsi="Times New Roman" w:eastAsia="黑体" w:cs="Times New Roman"/>
          <w:b w:val="0"/>
          <w:bCs w:val="0"/>
          <w:sz w:val="30"/>
          <w:szCs w:val="30"/>
          <w:highlight w:val="none"/>
          <w:lang w:val="en-US" w:eastAsia="zh-CN"/>
        </w:rPr>
        <w:instrText xml:space="preserve"> HYPERLINK \l _Toc9713 </w:instrText>
      </w:r>
      <w:r>
        <w:rPr>
          <w:rFonts w:hint="default" w:ascii="Times New Roman" w:hAnsi="Times New Roman" w:eastAsia="黑体" w:cs="Times New Roman"/>
          <w:b w:val="0"/>
          <w:bCs w:val="0"/>
          <w:sz w:val="30"/>
          <w:szCs w:val="30"/>
          <w:highlight w:val="none"/>
          <w:lang w:val="en-US" w:eastAsia="zh-CN"/>
        </w:rPr>
        <w:fldChar w:fldCharType="separate"/>
      </w:r>
      <w:r>
        <w:rPr>
          <w:rFonts w:hint="default" w:ascii="Times New Roman" w:hAnsi="Times New Roman" w:eastAsia="黑体" w:cs="Times New Roman"/>
          <w:b w:val="0"/>
          <w:bCs w:val="0"/>
          <w:sz w:val="30"/>
          <w:szCs w:val="30"/>
          <w:lang w:val="en-US" w:eastAsia="zh-CN"/>
        </w:rPr>
        <w:t>二、总体要求</w:t>
      </w:r>
      <w:r>
        <w:rPr>
          <w:rFonts w:hint="default" w:ascii="Times New Roman" w:hAnsi="Times New Roman" w:eastAsia="黑体" w:cs="Times New Roman"/>
          <w:b w:val="0"/>
          <w:bCs w:val="0"/>
          <w:sz w:val="30"/>
          <w:szCs w:val="30"/>
        </w:rPr>
        <w:tab/>
      </w:r>
      <w:r>
        <w:rPr>
          <w:rFonts w:hint="default" w:ascii="Times New Roman" w:hAnsi="Times New Roman" w:eastAsia="黑体" w:cs="Times New Roman"/>
          <w:b w:val="0"/>
          <w:bCs w:val="0"/>
          <w:sz w:val="30"/>
          <w:szCs w:val="30"/>
        </w:rPr>
        <w:fldChar w:fldCharType="begin"/>
      </w:r>
      <w:r>
        <w:rPr>
          <w:rFonts w:hint="default" w:ascii="Times New Roman" w:hAnsi="Times New Roman" w:eastAsia="黑体" w:cs="Times New Roman"/>
          <w:b w:val="0"/>
          <w:bCs w:val="0"/>
          <w:sz w:val="30"/>
          <w:szCs w:val="30"/>
        </w:rPr>
        <w:instrText xml:space="preserve"> PAGEREF _Toc9713 \h </w:instrText>
      </w:r>
      <w:r>
        <w:rPr>
          <w:rFonts w:hint="default" w:ascii="Times New Roman" w:hAnsi="Times New Roman" w:eastAsia="黑体" w:cs="Times New Roman"/>
          <w:b w:val="0"/>
          <w:bCs w:val="0"/>
          <w:sz w:val="30"/>
          <w:szCs w:val="30"/>
        </w:rPr>
        <w:fldChar w:fldCharType="separate"/>
      </w:r>
      <w:r>
        <w:rPr>
          <w:rFonts w:hint="default" w:ascii="Times New Roman" w:hAnsi="Times New Roman" w:eastAsia="黑体" w:cs="Times New Roman"/>
          <w:b w:val="0"/>
          <w:bCs w:val="0"/>
          <w:sz w:val="30"/>
          <w:szCs w:val="30"/>
        </w:rPr>
        <w:t>3</w:t>
      </w:r>
      <w:r>
        <w:rPr>
          <w:rFonts w:hint="default" w:ascii="Times New Roman" w:hAnsi="Times New Roman" w:eastAsia="黑体" w:cs="Times New Roman"/>
          <w:b w:val="0"/>
          <w:bCs w:val="0"/>
          <w:sz w:val="30"/>
          <w:szCs w:val="30"/>
        </w:rPr>
        <w:fldChar w:fldCharType="end"/>
      </w:r>
      <w:r>
        <w:rPr>
          <w:rFonts w:hint="default" w:ascii="Times New Roman" w:hAnsi="Times New Roman" w:eastAsia="黑体" w:cs="Times New Roman"/>
          <w:b w:val="0"/>
          <w:bCs w:val="0"/>
          <w:color w:val="auto"/>
          <w:sz w:val="30"/>
          <w:szCs w:val="30"/>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_Toc329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（一）指导思想</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_Toc329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3</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_Toc22038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（二）基本原则</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_Toc22038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3</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_Toc15456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（三）发展目标</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_Toc15456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4</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val="0"/>
          <w:sz w:val="30"/>
          <w:szCs w:val="30"/>
        </w:rPr>
      </w:pPr>
      <w:r>
        <w:rPr>
          <w:rFonts w:hint="default" w:ascii="Times New Roman" w:hAnsi="Times New Roman" w:eastAsia="黑体" w:cs="Times New Roman"/>
          <w:b w:val="0"/>
          <w:bCs w:val="0"/>
          <w:color w:val="auto"/>
          <w:sz w:val="30"/>
          <w:szCs w:val="30"/>
          <w:highlight w:val="none"/>
          <w:lang w:val="en-US" w:eastAsia="zh-CN"/>
        </w:rPr>
        <w:fldChar w:fldCharType="begin"/>
      </w:r>
      <w:r>
        <w:rPr>
          <w:rFonts w:hint="default" w:ascii="Times New Roman" w:hAnsi="Times New Roman" w:eastAsia="黑体" w:cs="Times New Roman"/>
          <w:b w:val="0"/>
          <w:bCs w:val="0"/>
          <w:sz w:val="30"/>
          <w:szCs w:val="30"/>
          <w:highlight w:val="none"/>
          <w:lang w:val="en-US" w:eastAsia="zh-CN"/>
        </w:rPr>
        <w:instrText xml:space="preserve"> HYPERLINK \l _Toc20443 </w:instrText>
      </w:r>
      <w:r>
        <w:rPr>
          <w:rFonts w:hint="default" w:ascii="Times New Roman" w:hAnsi="Times New Roman" w:eastAsia="黑体" w:cs="Times New Roman"/>
          <w:b w:val="0"/>
          <w:bCs w:val="0"/>
          <w:sz w:val="30"/>
          <w:szCs w:val="30"/>
          <w:highlight w:val="none"/>
          <w:lang w:val="en-US" w:eastAsia="zh-CN"/>
        </w:rPr>
        <w:fldChar w:fldCharType="separate"/>
      </w:r>
      <w:r>
        <w:rPr>
          <w:rFonts w:hint="default" w:ascii="Times New Roman" w:hAnsi="Times New Roman" w:eastAsia="黑体" w:cs="Times New Roman"/>
          <w:b w:val="0"/>
          <w:bCs w:val="0"/>
          <w:sz w:val="30"/>
          <w:szCs w:val="30"/>
          <w:lang w:val="en-US" w:eastAsia="zh-CN"/>
        </w:rPr>
        <w:t>三、发展布局</w:t>
      </w:r>
      <w:r>
        <w:rPr>
          <w:rFonts w:hint="default" w:ascii="Times New Roman" w:hAnsi="Times New Roman" w:eastAsia="黑体" w:cs="Times New Roman"/>
          <w:b w:val="0"/>
          <w:bCs w:val="0"/>
          <w:sz w:val="30"/>
          <w:szCs w:val="30"/>
        </w:rPr>
        <w:tab/>
      </w:r>
      <w:r>
        <w:rPr>
          <w:rFonts w:hint="default" w:ascii="Times New Roman" w:hAnsi="Times New Roman" w:eastAsia="黑体" w:cs="Times New Roman"/>
          <w:b w:val="0"/>
          <w:bCs w:val="0"/>
          <w:sz w:val="30"/>
          <w:szCs w:val="30"/>
        </w:rPr>
        <w:fldChar w:fldCharType="begin"/>
      </w:r>
      <w:r>
        <w:rPr>
          <w:rFonts w:hint="default" w:ascii="Times New Roman" w:hAnsi="Times New Roman" w:eastAsia="黑体" w:cs="Times New Roman"/>
          <w:b w:val="0"/>
          <w:bCs w:val="0"/>
          <w:sz w:val="30"/>
          <w:szCs w:val="30"/>
        </w:rPr>
        <w:instrText xml:space="preserve"> PAGEREF _Toc20443 \h </w:instrText>
      </w:r>
      <w:r>
        <w:rPr>
          <w:rFonts w:hint="default" w:ascii="Times New Roman" w:hAnsi="Times New Roman" w:eastAsia="黑体" w:cs="Times New Roman"/>
          <w:b w:val="0"/>
          <w:bCs w:val="0"/>
          <w:sz w:val="30"/>
          <w:szCs w:val="30"/>
        </w:rPr>
        <w:fldChar w:fldCharType="separate"/>
      </w:r>
      <w:r>
        <w:rPr>
          <w:rFonts w:hint="default" w:ascii="Times New Roman" w:hAnsi="Times New Roman" w:eastAsia="黑体" w:cs="Times New Roman"/>
          <w:b w:val="0"/>
          <w:bCs w:val="0"/>
          <w:sz w:val="30"/>
          <w:szCs w:val="30"/>
        </w:rPr>
        <w:t>5</w:t>
      </w:r>
      <w:r>
        <w:rPr>
          <w:rFonts w:hint="default" w:ascii="Times New Roman" w:hAnsi="Times New Roman" w:eastAsia="黑体" w:cs="Times New Roman"/>
          <w:b w:val="0"/>
          <w:bCs w:val="0"/>
          <w:sz w:val="30"/>
          <w:szCs w:val="30"/>
        </w:rPr>
        <w:fldChar w:fldCharType="end"/>
      </w:r>
      <w:r>
        <w:rPr>
          <w:rFonts w:hint="default" w:ascii="Times New Roman" w:hAnsi="Times New Roman" w:eastAsia="黑体" w:cs="Times New Roman"/>
          <w:b w:val="0"/>
          <w:bCs w:val="0"/>
          <w:color w:val="auto"/>
          <w:sz w:val="30"/>
          <w:szCs w:val="30"/>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_Toc9488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（一）太原市（6区1市3县）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_Toc9488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5</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_Toc3698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（二）大同市（4区6县）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_Toc3698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6</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_Toc3963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（三）阳泉市（3区2县）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_Toc3963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7</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_Toc11330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（四）长治市（4区8县）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_Toc11330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8</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_Toc12278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（五）晋城市（1区1市4县）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_Toc12278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9</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_Toc10673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（六）朔州市（2区1市3县）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_Toc10673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10</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_Toc13608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（七）晋中市（2区1市8县）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_Toc13608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10</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_Toc21308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（八）运城市（1区2市10县）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_Toc21308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11</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_Toc30792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（九）忻州市（2区1市12县）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_Toc30792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12</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_Toc2366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（十）临汾市（1区2市14县）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_Toc2366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13</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_Toc7227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（十一）吕梁市（1区2市10县）</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_Toc7227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15</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val="0"/>
          <w:sz w:val="30"/>
          <w:szCs w:val="30"/>
        </w:rPr>
      </w:pPr>
      <w:r>
        <w:rPr>
          <w:rFonts w:hint="default" w:ascii="Times New Roman" w:hAnsi="Times New Roman" w:eastAsia="黑体" w:cs="Times New Roman"/>
          <w:b w:val="0"/>
          <w:bCs w:val="0"/>
          <w:color w:val="auto"/>
          <w:sz w:val="30"/>
          <w:szCs w:val="30"/>
          <w:highlight w:val="none"/>
          <w:lang w:val="en-US" w:eastAsia="zh-CN"/>
        </w:rPr>
        <w:fldChar w:fldCharType="begin"/>
      </w:r>
      <w:r>
        <w:rPr>
          <w:rFonts w:hint="default" w:ascii="Times New Roman" w:hAnsi="Times New Roman" w:eastAsia="黑体" w:cs="Times New Roman"/>
          <w:b w:val="0"/>
          <w:bCs w:val="0"/>
          <w:sz w:val="30"/>
          <w:szCs w:val="30"/>
          <w:highlight w:val="none"/>
          <w:lang w:val="en-US" w:eastAsia="zh-CN"/>
        </w:rPr>
        <w:instrText xml:space="preserve"> HYPERLINK \l _Toc32542 </w:instrText>
      </w:r>
      <w:r>
        <w:rPr>
          <w:rFonts w:hint="default" w:ascii="Times New Roman" w:hAnsi="Times New Roman" w:eastAsia="黑体" w:cs="Times New Roman"/>
          <w:b w:val="0"/>
          <w:bCs w:val="0"/>
          <w:sz w:val="30"/>
          <w:szCs w:val="30"/>
          <w:highlight w:val="none"/>
          <w:lang w:val="en-US" w:eastAsia="zh-CN"/>
        </w:rPr>
        <w:fldChar w:fldCharType="separate"/>
      </w:r>
      <w:r>
        <w:rPr>
          <w:rFonts w:hint="default" w:ascii="Times New Roman" w:hAnsi="Times New Roman" w:eastAsia="黑体" w:cs="Times New Roman"/>
          <w:b w:val="0"/>
          <w:bCs w:val="0"/>
          <w:sz w:val="30"/>
          <w:szCs w:val="30"/>
          <w:lang w:val="en-US" w:eastAsia="zh-CN"/>
        </w:rPr>
        <w:t>四、重点任务</w:t>
      </w:r>
      <w:r>
        <w:rPr>
          <w:rFonts w:hint="default" w:ascii="Times New Roman" w:hAnsi="Times New Roman" w:eastAsia="黑体" w:cs="Times New Roman"/>
          <w:b w:val="0"/>
          <w:bCs w:val="0"/>
          <w:sz w:val="30"/>
          <w:szCs w:val="30"/>
        </w:rPr>
        <w:tab/>
      </w:r>
      <w:r>
        <w:rPr>
          <w:rFonts w:hint="default" w:ascii="Times New Roman" w:hAnsi="Times New Roman" w:eastAsia="黑体" w:cs="Times New Roman"/>
          <w:b w:val="0"/>
          <w:bCs w:val="0"/>
          <w:sz w:val="30"/>
          <w:szCs w:val="30"/>
        </w:rPr>
        <w:fldChar w:fldCharType="begin"/>
      </w:r>
      <w:r>
        <w:rPr>
          <w:rFonts w:hint="default" w:ascii="Times New Roman" w:hAnsi="Times New Roman" w:eastAsia="黑体" w:cs="Times New Roman"/>
          <w:b w:val="0"/>
          <w:bCs w:val="0"/>
          <w:sz w:val="30"/>
          <w:szCs w:val="30"/>
        </w:rPr>
        <w:instrText xml:space="preserve"> PAGEREF _Toc32542 \h </w:instrText>
      </w:r>
      <w:r>
        <w:rPr>
          <w:rFonts w:hint="default" w:ascii="Times New Roman" w:hAnsi="Times New Roman" w:eastAsia="黑体" w:cs="Times New Roman"/>
          <w:b w:val="0"/>
          <w:bCs w:val="0"/>
          <w:sz w:val="30"/>
          <w:szCs w:val="30"/>
        </w:rPr>
        <w:fldChar w:fldCharType="separate"/>
      </w:r>
      <w:r>
        <w:rPr>
          <w:rFonts w:hint="default" w:ascii="Times New Roman" w:hAnsi="Times New Roman" w:eastAsia="黑体" w:cs="Times New Roman"/>
          <w:b w:val="0"/>
          <w:bCs w:val="0"/>
          <w:sz w:val="30"/>
          <w:szCs w:val="30"/>
        </w:rPr>
        <w:t>16</w:t>
      </w:r>
      <w:r>
        <w:rPr>
          <w:rFonts w:hint="default" w:ascii="Times New Roman" w:hAnsi="Times New Roman" w:eastAsia="黑体" w:cs="Times New Roman"/>
          <w:b w:val="0"/>
          <w:bCs w:val="0"/>
          <w:sz w:val="30"/>
          <w:szCs w:val="30"/>
        </w:rPr>
        <w:fldChar w:fldCharType="end"/>
      </w:r>
      <w:r>
        <w:rPr>
          <w:rFonts w:hint="default" w:ascii="Times New Roman" w:hAnsi="Times New Roman" w:eastAsia="黑体" w:cs="Times New Roman"/>
          <w:b w:val="0"/>
          <w:bCs w:val="0"/>
          <w:color w:val="auto"/>
          <w:sz w:val="30"/>
          <w:szCs w:val="30"/>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_Toc31382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（一）健全生活垃圾分类收运体系</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_Toc31382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16</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_Toc29882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（二）提升焚烧设施处理能力</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_Toc29882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17</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_Toc30170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（三）加强设施建设运行监管</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_Toc30170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17</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_Toc17474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（四）探索提升设施可持续运营能力</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_Toc17474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18</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30"/>
          <w:szCs w:val="30"/>
        </w:rPr>
      </w:pPr>
      <w:r>
        <w:rPr>
          <w:rFonts w:hint="default" w:ascii="Times New Roman" w:hAnsi="Times New Roman" w:eastAsia="仿宋" w:cs="Times New Roman"/>
          <w:b w:val="0"/>
          <w:bCs w:val="0"/>
          <w:color w:val="auto"/>
          <w:sz w:val="30"/>
          <w:szCs w:val="30"/>
          <w:highlight w:val="none"/>
          <w:lang w:val="en-US" w:eastAsia="zh-CN"/>
        </w:rPr>
        <w:fldChar w:fldCharType="begin"/>
      </w:r>
      <w:r>
        <w:rPr>
          <w:rFonts w:hint="default" w:ascii="Times New Roman" w:hAnsi="Times New Roman" w:eastAsia="仿宋" w:cs="Times New Roman"/>
          <w:b w:val="0"/>
          <w:bCs w:val="0"/>
          <w:sz w:val="30"/>
          <w:szCs w:val="30"/>
          <w:highlight w:val="none"/>
          <w:lang w:val="en-US" w:eastAsia="zh-CN"/>
        </w:rPr>
        <w:instrText xml:space="preserve"> HYPERLINK \l _Toc16995 </w:instrText>
      </w:r>
      <w:r>
        <w:rPr>
          <w:rFonts w:hint="default" w:ascii="Times New Roman" w:hAnsi="Times New Roman" w:eastAsia="仿宋" w:cs="Times New Roman"/>
          <w:b w:val="0"/>
          <w:bCs w:val="0"/>
          <w:sz w:val="30"/>
          <w:szCs w:val="30"/>
          <w:highlight w:val="none"/>
          <w:lang w:val="en-US" w:eastAsia="zh-CN"/>
        </w:rPr>
        <w:fldChar w:fldCharType="separate"/>
      </w:r>
      <w:r>
        <w:rPr>
          <w:rFonts w:hint="default" w:ascii="Times New Roman" w:hAnsi="Times New Roman" w:eastAsia="仿宋" w:cs="Times New Roman"/>
          <w:b w:val="0"/>
          <w:bCs w:val="0"/>
          <w:sz w:val="30"/>
          <w:szCs w:val="30"/>
          <w:lang w:val="en-US" w:eastAsia="zh-CN"/>
        </w:rPr>
        <w:t>五、环境影响评价</w:t>
      </w:r>
      <w:r>
        <w:rPr>
          <w:rFonts w:hint="default" w:ascii="Times New Roman" w:hAnsi="Times New Roman" w:eastAsia="仿宋" w:cs="Times New Roman"/>
          <w:b w:val="0"/>
          <w:bCs w:val="0"/>
          <w:sz w:val="30"/>
          <w:szCs w:val="30"/>
        </w:rPr>
        <w:tab/>
      </w:r>
      <w:r>
        <w:rPr>
          <w:rFonts w:hint="default" w:ascii="Times New Roman" w:hAnsi="Times New Roman" w:eastAsia="仿宋" w:cs="Times New Roman"/>
          <w:b w:val="0"/>
          <w:bCs w:val="0"/>
          <w:sz w:val="30"/>
          <w:szCs w:val="30"/>
        </w:rPr>
        <w:fldChar w:fldCharType="begin"/>
      </w:r>
      <w:r>
        <w:rPr>
          <w:rFonts w:hint="default" w:ascii="Times New Roman" w:hAnsi="Times New Roman" w:eastAsia="仿宋" w:cs="Times New Roman"/>
          <w:b w:val="0"/>
          <w:bCs w:val="0"/>
          <w:sz w:val="30"/>
          <w:szCs w:val="30"/>
        </w:rPr>
        <w:instrText xml:space="preserve"> PAGEREF _Toc16995 \h </w:instrText>
      </w:r>
      <w:r>
        <w:rPr>
          <w:rFonts w:hint="default" w:ascii="Times New Roman" w:hAnsi="Times New Roman" w:eastAsia="仿宋" w:cs="Times New Roman"/>
          <w:b w:val="0"/>
          <w:bCs w:val="0"/>
          <w:sz w:val="30"/>
          <w:szCs w:val="30"/>
        </w:rPr>
        <w:fldChar w:fldCharType="separate"/>
      </w:r>
      <w:r>
        <w:rPr>
          <w:rFonts w:hint="default" w:ascii="Times New Roman" w:hAnsi="Times New Roman" w:eastAsia="仿宋" w:cs="Times New Roman"/>
          <w:b w:val="0"/>
          <w:bCs w:val="0"/>
          <w:sz w:val="30"/>
          <w:szCs w:val="30"/>
        </w:rPr>
        <w:t>19</w:t>
      </w:r>
      <w:r>
        <w:rPr>
          <w:rFonts w:hint="default" w:ascii="Times New Roman" w:hAnsi="Times New Roman" w:eastAsia="仿宋" w:cs="Times New Roman"/>
          <w:b w:val="0"/>
          <w:bCs w:val="0"/>
          <w:sz w:val="30"/>
          <w:szCs w:val="30"/>
        </w:rPr>
        <w:fldChar w:fldCharType="end"/>
      </w:r>
      <w:r>
        <w:rPr>
          <w:rFonts w:hint="default" w:ascii="Times New Roman" w:hAnsi="Times New Roman" w:eastAsia="仿宋" w:cs="Times New Roman"/>
          <w:b w:val="0"/>
          <w:bCs w:val="0"/>
          <w:color w:val="auto"/>
          <w:sz w:val="30"/>
          <w:szCs w:val="30"/>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_Toc12262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（一）环境影响分析和评价</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_Toc12262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19</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_Toc983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（二）预防和减缓影响的措施</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_Toc983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20</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_Toc30215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（三）环境影响分析结论</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_Toc30215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22</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val="0"/>
          <w:sz w:val="30"/>
          <w:szCs w:val="30"/>
        </w:rPr>
      </w:pPr>
      <w:r>
        <w:rPr>
          <w:rFonts w:hint="default" w:ascii="Times New Roman" w:hAnsi="Times New Roman" w:eastAsia="黑体" w:cs="Times New Roman"/>
          <w:b w:val="0"/>
          <w:bCs w:val="0"/>
          <w:color w:val="auto"/>
          <w:sz w:val="30"/>
          <w:szCs w:val="30"/>
          <w:highlight w:val="none"/>
          <w:lang w:val="en-US" w:eastAsia="zh-CN"/>
        </w:rPr>
        <w:fldChar w:fldCharType="begin"/>
      </w:r>
      <w:r>
        <w:rPr>
          <w:rFonts w:hint="default" w:ascii="Times New Roman" w:hAnsi="Times New Roman" w:eastAsia="黑体" w:cs="Times New Roman"/>
          <w:b w:val="0"/>
          <w:bCs w:val="0"/>
          <w:sz w:val="30"/>
          <w:szCs w:val="30"/>
          <w:highlight w:val="none"/>
          <w:lang w:val="en-US" w:eastAsia="zh-CN"/>
        </w:rPr>
        <w:instrText xml:space="preserve"> HYPERLINK \l _Toc19232 </w:instrText>
      </w:r>
      <w:r>
        <w:rPr>
          <w:rFonts w:hint="default" w:ascii="Times New Roman" w:hAnsi="Times New Roman" w:eastAsia="黑体" w:cs="Times New Roman"/>
          <w:b w:val="0"/>
          <w:bCs w:val="0"/>
          <w:sz w:val="30"/>
          <w:szCs w:val="30"/>
          <w:highlight w:val="none"/>
          <w:lang w:val="en-US" w:eastAsia="zh-CN"/>
        </w:rPr>
        <w:fldChar w:fldCharType="separate"/>
      </w:r>
      <w:r>
        <w:rPr>
          <w:rFonts w:hint="default" w:ascii="Times New Roman" w:hAnsi="Times New Roman" w:eastAsia="黑体" w:cs="Times New Roman"/>
          <w:b w:val="0"/>
          <w:bCs w:val="0"/>
          <w:sz w:val="30"/>
          <w:szCs w:val="30"/>
          <w:lang w:val="en-US" w:eastAsia="zh-CN"/>
        </w:rPr>
        <w:t>六、保障措施</w:t>
      </w:r>
      <w:r>
        <w:rPr>
          <w:rFonts w:hint="default" w:ascii="Times New Roman" w:hAnsi="Times New Roman" w:eastAsia="黑体" w:cs="Times New Roman"/>
          <w:b w:val="0"/>
          <w:bCs w:val="0"/>
          <w:sz w:val="30"/>
          <w:szCs w:val="30"/>
        </w:rPr>
        <w:tab/>
      </w:r>
      <w:r>
        <w:rPr>
          <w:rFonts w:hint="default" w:ascii="Times New Roman" w:hAnsi="Times New Roman" w:eastAsia="黑体" w:cs="Times New Roman"/>
          <w:b w:val="0"/>
          <w:bCs w:val="0"/>
          <w:sz w:val="30"/>
          <w:szCs w:val="30"/>
        </w:rPr>
        <w:fldChar w:fldCharType="begin"/>
      </w:r>
      <w:r>
        <w:rPr>
          <w:rFonts w:hint="default" w:ascii="Times New Roman" w:hAnsi="Times New Roman" w:eastAsia="黑体" w:cs="Times New Roman"/>
          <w:b w:val="0"/>
          <w:bCs w:val="0"/>
          <w:sz w:val="30"/>
          <w:szCs w:val="30"/>
        </w:rPr>
        <w:instrText xml:space="preserve"> PAGEREF _Toc19232 \h </w:instrText>
      </w:r>
      <w:r>
        <w:rPr>
          <w:rFonts w:hint="default" w:ascii="Times New Roman" w:hAnsi="Times New Roman" w:eastAsia="黑体" w:cs="Times New Roman"/>
          <w:b w:val="0"/>
          <w:bCs w:val="0"/>
          <w:sz w:val="30"/>
          <w:szCs w:val="30"/>
        </w:rPr>
        <w:fldChar w:fldCharType="separate"/>
      </w:r>
      <w:r>
        <w:rPr>
          <w:rFonts w:hint="default" w:ascii="Times New Roman" w:hAnsi="Times New Roman" w:eastAsia="黑体" w:cs="Times New Roman"/>
          <w:b w:val="0"/>
          <w:bCs w:val="0"/>
          <w:sz w:val="30"/>
          <w:szCs w:val="30"/>
        </w:rPr>
        <w:t>22</w:t>
      </w:r>
      <w:r>
        <w:rPr>
          <w:rFonts w:hint="default" w:ascii="Times New Roman" w:hAnsi="Times New Roman" w:eastAsia="黑体" w:cs="Times New Roman"/>
          <w:b w:val="0"/>
          <w:bCs w:val="0"/>
          <w:sz w:val="30"/>
          <w:szCs w:val="30"/>
        </w:rPr>
        <w:fldChar w:fldCharType="end"/>
      </w:r>
      <w:r>
        <w:rPr>
          <w:rFonts w:hint="default" w:ascii="Times New Roman" w:hAnsi="Times New Roman" w:eastAsia="黑体" w:cs="Times New Roman"/>
          <w:b w:val="0"/>
          <w:bCs w:val="0"/>
          <w:color w:val="auto"/>
          <w:sz w:val="30"/>
          <w:szCs w:val="30"/>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_Toc10180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（一）加强组织领导</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_Toc10180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22</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_Toc8509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（二）强化监督管理</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_Toc8509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22</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_Toc23834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（三）加大资金政策支持</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_Toc23834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23</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2"/>
        <w:widowControl w:val="0"/>
        <w:tabs>
          <w:tab w:val="right" w:leader="dot" w:pos="8306"/>
        </w:tabs>
        <w:wordWrap/>
        <w:adjustRightInd/>
        <w:snapToGrid/>
        <w:ind w:firstLine="0" w:firstLineChars="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color w:val="auto"/>
          <w:sz w:val="28"/>
          <w:szCs w:val="28"/>
          <w:highlight w:val="none"/>
          <w:lang w:val="en-US" w:eastAsia="zh-CN"/>
        </w:rPr>
        <w:fldChar w:fldCharType="begin"/>
      </w:r>
      <w:r>
        <w:rPr>
          <w:rFonts w:hint="default" w:ascii="Times New Roman" w:hAnsi="Times New Roman" w:eastAsia="仿宋" w:cs="Times New Roman"/>
          <w:b w:val="0"/>
          <w:bCs w:val="0"/>
          <w:sz w:val="28"/>
          <w:szCs w:val="28"/>
          <w:highlight w:val="none"/>
          <w:lang w:val="en-US" w:eastAsia="zh-CN"/>
        </w:rPr>
        <w:instrText xml:space="preserve"> HYPERLINK \l _Toc27996 </w:instrText>
      </w:r>
      <w:r>
        <w:rPr>
          <w:rFonts w:hint="default" w:ascii="Times New Roman" w:hAnsi="Times New Roman" w:eastAsia="仿宋" w:cs="Times New Roman"/>
          <w:b w:val="0"/>
          <w:bCs w:val="0"/>
          <w:sz w:val="28"/>
          <w:szCs w:val="28"/>
          <w:highlight w:val="none"/>
          <w:lang w:val="en-US" w:eastAsia="zh-CN"/>
        </w:rPr>
        <w:fldChar w:fldCharType="separate"/>
      </w:r>
      <w:r>
        <w:rPr>
          <w:rFonts w:hint="default" w:ascii="Times New Roman" w:hAnsi="Times New Roman" w:eastAsia="仿宋" w:cs="Times New Roman"/>
          <w:b w:val="0"/>
          <w:bCs w:val="0"/>
          <w:sz w:val="28"/>
          <w:szCs w:val="28"/>
          <w:lang w:val="en-US" w:eastAsia="zh-CN"/>
        </w:rPr>
        <w:t>（四）加强宣传科普</w:t>
      </w:r>
      <w:r>
        <w:rPr>
          <w:rFonts w:hint="default" w:ascii="Times New Roman" w:hAnsi="Times New Roman" w:eastAsia="仿宋" w:cs="Times New Roman"/>
          <w:b w:val="0"/>
          <w:bCs w:val="0"/>
          <w:sz w:val="28"/>
          <w:szCs w:val="28"/>
        </w:rPr>
        <w:tab/>
      </w:r>
      <w:r>
        <w:rPr>
          <w:rFonts w:hint="default" w:ascii="Times New Roman" w:hAnsi="Times New Roman" w:eastAsia="仿宋" w:cs="Times New Roman"/>
          <w:b w:val="0"/>
          <w:bCs w:val="0"/>
          <w:sz w:val="28"/>
          <w:szCs w:val="28"/>
        </w:rPr>
        <w:fldChar w:fldCharType="begin"/>
      </w:r>
      <w:r>
        <w:rPr>
          <w:rFonts w:hint="default" w:ascii="Times New Roman" w:hAnsi="Times New Roman" w:eastAsia="仿宋" w:cs="Times New Roman"/>
          <w:b w:val="0"/>
          <w:bCs w:val="0"/>
          <w:sz w:val="28"/>
          <w:szCs w:val="28"/>
        </w:rPr>
        <w:instrText xml:space="preserve"> PAGEREF _Toc27996 \h </w:instrText>
      </w:r>
      <w:r>
        <w:rPr>
          <w:rFonts w:hint="default" w:ascii="Times New Roman" w:hAnsi="Times New Roman" w:eastAsia="仿宋" w:cs="Times New Roman"/>
          <w:b w:val="0"/>
          <w:bCs w:val="0"/>
          <w:sz w:val="28"/>
          <w:szCs w:val="28"/>
        </w:rPr>
        <w:fldChar w:fldCharType="separate"/>
      </w:r>
      <w:r>
        <w:rPr>
          <w:rFonts w:hint="default" w:ascii="Times New Roman" w:hAnsi="Times New Roman" w:eastAsia="仿宋" w:cs="Times New Roman"/>
          <w:b w:val="0"/>
          <w:bCs w:val="0"/>
          <w:sz w:val="28"/>
          <w:szCs w:val="28"/>
        </w:rPr>
        <w:t>23</w:t>
      </w:r>
      <w:r>
        <w:rPr>
          <w:rFonts w:hint="default" w:ascii="Times New Roman" w:hAnsi="Times New Roman" w:eastAsia="仿宋" w:cs="Times New Roman"/>
          <w:b w:val="0"/>
          <w:bCs w:val="0"/>
          <w:sz w:val="28"/>
          <w:szCs w:val="28"/>
        </w:rPr>
        <w:fldChar w:fldCharType="end"/>
      </w:r>
      <w:r>
        <w:rPr>
          <w:rFonts w:hint="default" w:ascii="Times New Roman" w:hAnsi="Times New Roman" w:eastAsia="仿宋" w:cs="Times New Roman"/>
          <w:b w:val="0"/>
          <w:bCs w:val="0"/>
          <w:color w:val="auto"/>
          <w:sz w:val="28"/>
          <w:szCs w:val="28"/>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sz w:val="30"/>
          <w:szCs w:val="30"/>
        </w:rPr>
      </w:pPr>
      <w:r>
        <w:rPr>
          <w:rFonts w:hint="default" w:ascii="Times New Roman" w:hAnsi="Times New Roman" w:eastAsia="黑体" w:cs="Times New Roman"/>
          <w:b w:val="0"/>
          <w:bCs/>
          <w:color w:val="auto"/>
          <w:sz w:val="30"/>
          <w:szCs w:val="30"/>
          <w:highlight w:val="none"/>
          <w:lang w:val="en-US" w:eastAsia="zh-CN"/>
        </w:rPr>
        <w:fldChar w:fldCharType="begin"/>
      </w:r>
      <w:r>
        <w:rPr>
          <w:rFonts w:hint="default" w:ascii="Times New Roman" w:hAnsi="Times New Roman" w:eastAsia="黑体" w:cs="Times New Roman"/>
          <w:b w:val="0"/>
          <w:bCs/>
          <w:sz w:val="30"/>
          <w:szCs w:val="30"/>
          <w:highlight w:val="none"/>
          <w:lang w:val="en-US" w:eastAsia="zh-CN"/>
        </w:rPr>
        <w:instrText xml:space="preserve"> HYPERLINK \l _Toc31481 </w:instrText>
      </w:r>
      <w:r>
        <w:rPr>
          <w:rFonts w:hint="default" w:ascii="Times New Roman" w:hAnsi="Times New Roman" w:eastAsia="黑体" w:cs="Times New Roman"/>
          <w:b w:val="0"/>
          <w:bCs/>
          <w:sz w:val="30"/>
          <w:szCs w:val="30"/>
          <w:highlight w:val="none"/>
          <w:lang w:val="en-US" w:eastAsia="zh-CN"/>
        </w:rPr>
        <w:fldChar w:fldCharType="separate"/>
      </w:r>
      <w:r>
        <w:rPr>
          <w:rFonts w:hint="default" w:ascii="Times New Roman" w:hAnsi="Times New Roman" w:eastAsia="黑体" w:cs="Times New Roman"/>
          <w:b w:val="0"/>
          <w:bCs/>
          <w:kern w:val="2"/>
          <w:sz w:val="30"/>
          <w:szCs w:val="30"/>
          <w:highlight w:val="none"/>
          <w:lang w:val="en-US" w:eastAsia="zh-CN" w:bidi="ar-SA"/>
        </w:rPr>
        <w:t>附表1：山西省已建生活垃圾焚烧项目表</w:t>
      </w:r>
      <w:r>
        <w:rPr>
          <w:rFonts w:hint="default" w:ascii="Times New Roman" w:hAnsi="Times New Roman" w:eastAsia="黑体" w:cs="Times New Roman"/>
          <w:b w:val="0"/>
          <w:bCs/>
          <w:sz w:val="30"/>
          <w:szCs w:val="30"/>
        </w:rPr>
        <w:tab/>
      </w:r>
      <w:r>
        <w:rPr>
          <w:rFonts w:hint="default" w:ascii="Times New Roman" w:hAnsi="Times New Roman" w:eastAsia="黑体" w:cs="Times New Roman"/>
          <w:b w:val="0"/>
          <w:bCs/>
          <w:sz w:val="30"/>
          <w:szCs w:val="30"/>
        </w:rPr>
        <w:fldChar w:fldCharType="begin"/>
      </w:r>
      <w:r>
        <w:rPr>
          <w:rFonts w:hint="default" w:ascii="Times New Roman" w:hAnsi="Times New Roman" w:eastAsia="黑体" w:cs="Times New Roman"/>
          <w:b w:val="0"/>
          <w:bCs/>
          <w:sz w:val="30"/>
          <w:szCs w:val="30"/>
        </w:rPr>
        <w:instrText xml:space="preserve"> PAGEREF _Toc31481 \h </w:instrText>
      </w:r>
      <w:r>
        <w:rPr>
          <w:rFonts w:hint="default" w:ascii="Times New Roman" w:hAnsi="Times New Roman" w:eastAsia="黑体" w:cs="Times New Roman"/>
          <w:b w:val="0"/>
          <w:bCs/>
          <w:sz w:val="30"/>
          <w:szCs w:val="30"/>
        </w:rPr>
        <w:fldChar w:fldCharType="separate"/>
      </w:r>
      <w:r>
        <w:rPr>
          <w:rFonts w:hint="default" w:ascii="Times New Roman" w:hAnsi="Times New Roman" w:eastAsia="黑体" w:cs="Times New Roman"/>
          <w:b w:val="0"/>
          <w:bCs/>
          <w:sz w:val="30"/>
          <w:szCs w:val="30"/>
        </w:rPr>
        <w:t>25</w:t>
      </w:r>
      <w:r>
        <w:rPr>
          <w:rFonts w:hint="default" w:ascii="Times New Roman" w:hAnsi="Times New Roman" w:eastAsia="黑体" w:cs="Times New Roman"/>
          <w:b w:val="0"/>
          <w:bCs/>
          <w:sz w:val="30"/>
          <w:szCs w:val="30"/>
        </w:rPr>
        <w:fldChar w:fldCharType="end"/>
      </w:r>
      <w:r>
        <w:rPr>
          <w:rFonts w:hint="default" w:ascii="Times New Roman" w:hAnsi="Times New Roman" w:eastAsia="黑体" w:cs="Times New Roman"/>
          <w:b w:val="0"/>
          <w:bCs/>
          <w:color w:val="auto"/>
          <w:sz w:val="30"/>
          <w:szCs w:val="30"/>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sz w:val="30"/>
          <w:szCs w:val="30"/>
        </w:rPr>
      </w:pPr>
      <w:r>
        <w:rPr>
          <w:rFonts w:hint="default" w:ascii="Times New Roman" w:hAnsi="Times New Roman" w:eastAsia="黑体" w:cs="Times New Roman"/>
          <w:b w:val="0"/>
          <w:bCs/>
          <w:color w:val="auto"/>
          <w:sz w:val="30"/>
          <w:szCs w:val="30"/>
          <w:highlight w:val="none"/>
          <w:lang w:val="en-US" w:eastAsia="zh-CN"/>
        </w:rPr>
        <w:fldChar w:fldCharType="begin"/>
      </w:r>
      <w:r>
        <w:rPr>
          <w:rFonts w:hint="default" w:ascii="Times New Roman" w:hAnsi="Times New Roman" w:eastAsia="黑体" w:cs="Times New Roman"/>
          <w:b w:val="0"/>
          <w:bCs/>
          <w:sz w:val="30"/>
          <w:szCs w:val="30"/>
          <w:highlight w:val="none"/>
          <w:lang w:val="en-US" w:eastAsia="zh-CN"/>
        </w:rPr>
        <w:instrText xml:space="preserve"> HYPERLINK \l _Toc8948 </w:instrText>
      </w:r>
      <w:r>
        <w:rPr>
          <w:rFonts w:hint="default" w:ascii="Times New Roman" w:hAnsi="Times New Roman" w:eastAsia="黑体" w:cs="Times New Roman"/>
          <w:b w:val="0"/>
          <w:bCs/>
          <w:sz w:val="30"/>
          <w:szCs w:val="30"/>
          <w:highlight w:val="none"/>
          <w:lang w:val="en-US" w:eastAsia="zh-CN"/>
        </w:rPr>
        <w:fldChar w:fldCharType="separate"/>
      </w:r>
      <w:r>
        <w:rPr>
          <w:rFonts w:hint="default" w:ascii="Times New Roman" w:hAnsi="Times New Roman" w:eastAsia="黑体" w:cs="Times New Roman"/>
          <w:b w:val="0"/>
          <w:bCs/>
          <w:kern w:val="2"/>
          <w:sz w:val="30"/>
          <w:szCs w:val="30"/>
          <w:highlight w:val="none"/>
          <w:lang w:val="en-US" w:eastAsia="zh-CN" w:bidi="ar-SA"/>
        </w:rPr>
        <w:t>附表2：山西省2023—2025年生活垃圾焚烧项目表</w:t>
      </w:r>
      <w:r>
        <w:rPr>
          <w:rFonts w:hint="default" w:ascii="Times New Roman" w:hAnsi="Times New Roman" w:eastAsia="黑体" w:cs="Times New Roman"/>
          <w:b w:val="0"/>
          <w:bCs/>
          <w:sz w:val="30"/>
          <w:szCs w:val="30"/>
        </w:rPr>
        <w:tab/>
      </w:r>
      <w:r>
        <w:rPr>
          <w:rFonts w:hint="default" w:ascii="Times New Roman" w:hAnsi="Times New Roman" w:eastAsia="黑体" w:cs="Times New Roman"/>
          <w:b w:val="0"/>
          <w:bCs/>
          <w:sz w:val="30"/>
          <w:szCs w:val="30"/>
        </w:rPr>
        <w:fldChar w:fldCharType="begin"/>
      </w:r>
      <w:r>
        <w:rPr>
          <w:rFonts w:hint="default" w:ascii="Times New Roman" w:hAnsi="Times New Roman" w:eastAsia="黑体" w:cs="Times New Roman"/>
          <w:b w:val="0"/>
          <w:bCs/>
          <w:sz w:val="30"/>
          <w:szCs w:val="30"/>
        </w:rPr>
        <w:instrText xml:space="preserve"> PAGEREF _Toc8948 \h </w:instrText>
      </w:r>
      <w:r>
        <w:rPr>
          <w:rFonts w:hint="default" w:ascii="Times New Roman" w:hAnsi="Times New Roman" w:eastAsia="黑体" w:cs="Times New Roman"/>
          <w:b w:val="0"/>
          <w:bCs/>
          <w:sz w:val="30"/>
          <w:szCs w:val="30"/>
        </w:rPr>
        <w:fldChar w:fldCharType="separate"/>
      </w:r>
      <w:r>
        <w:rPr>
          <w:rFonts w:hint="default" w:ascii="Times New Roman" w:hAnsi="Times New Roman" w:eastAsia="黑体" w:cs="Times New Roman"/>
          <w:b w:val="0"/>
          <w:bCs/>
          <w:sz w:val="30"/>
          <w:szCs w:val="30"/>
        </w:rPr>
        <w:t>27</w:t>
      </w:r>
      <w:r>
        <w:rPr>
          <w:rFonts w:hint="default" w:ascii="Times New Roman" w:hAnsi="Times New Roman" w:eastAsia="黑体" w:cs="Times New Roman"/>
          <w:b w:val="0"/>
          <w:bCs/>
          <w:sz w:val="30"/>
          <w:szCs w:val="30"/>
        </w:rPr>
        <w:fldChar w:fldCharType="end"/>
      </w:r>
      <w:r>
        <w:rPr>
          <w:rFonts w:hint="default" w:ascii="Times New Roman" w:hAnsi="Times New Roman" w:eastAsia="黑体" w:cs="Times New Roman"/>
          <w:b w:val="0"/>
          <w:bCs/>
          <w:color w:val="auto"/>
          <w:sz w:val="30"/>
          <w:szCs w:val="30"/>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sz w:val="30"/>
          <w:szCs w:val="30"/>
        </w:rPr>
      </w:pPr>
      <w:r>
        <w:rPr>
          <w:rFonts w:hint="default" w:ascii="Times New Roman" w:hAnsi="Times New Roman" w:eastAsia="黑体" w:cs="Times New Roman"/>
          <w:b w:val="0"/>
          <w:bCs/>
          <w:color w:val="auto"/>
          <w:sz w:val="30"/>
          <w:szCs w:val="30"/>
          <w:highlight w:val="none"/>
          <w:lang w:val="en-US" w:eastAsia="zh-CN"/>
        </w:rPr>
        <w:fldChar w:fldCharType="begin"/>
      </w:r>
      <w:r>
        <w:rPr>
          <w:rFonts w:hint="default" w:ascii="Times New Roman" w:hAnsi="Times New Roman" w:eastAsia="黑体" w:cs="Times New Roman"/>
          <w:b w:val="0"/>
          <w:bCs/>
          <w:sz w:val="30"/>
          <w:szCs w:val="30"/>
          <w:highlight w:val="none"/>
          <w:lang w:val="en-US" w:eastAsia="zh-CN"/>
        </w:rPr>
        <w:instrText xml:space="preserve"> HYPERLINK \l _Toc24950 </w:instrText>
      </w:r>
      <w:r>
        <w:rPr>
          <w:rFonts w:hint="default" w:ascii="Times New Roman" w:hAnsi="Times New Roman" w:eastAsia="黑体" w:cs="Times New Roman"/>
          <w:b w:val="0"/>
          <w:bCs/>
          <w:sz w:val="30"/>
          <w:szCs w:val="30"/>
          <w:highlight w:val="none"/>
          <w:lang w:val="en-US" w:eastAsia="zh-CN"/>
        </w:rPr>
        <w:fldChar w:fldCharType="separate"/>
      </w:r>
      <w:r>
        <w:rPr>
          <w:rFonts w:hint="default" w:ascii="Times New Roman" w:hAnsi="Times New Roman" w:eastAsia="黑体" w:cs="Times New Roman"/>
          <w:b w:val="0"/>
          <w:bCs/>
          <w:kern w:val="2"/>
          <w:sz w:val="30"/>
          <w:szCs w:val="30"/>
          <w:highlight w:val="none"/>
          <w:lang w:val="en-US" w:eastAsia="zh-CN" w:bidi="ar-SA"/>
        </w:rPr>
        <w:t>附表3：山西省2026—2030年生活垃圾焚烧项目表</w:t>
      </w:r>
      <w:r>
        <w:rPr>
          <w:rFonts w:hint="default" w:ascii="Times New Roman" w:hAnsi="Times New Roman" w:eastAsia="黑体" w:cs="Times New Roman"/>
          <w:b w:val="0"/>
          <w:bCs/>
          <w:sz w:val="30"/>
          <w:szCs w:val="30"/>
        </w:rPr>
        <w:tab/>
      </w:r>
      <w:r>
        <w:rPr>
          <w:rFonts w:hint="default" w:ascii="Times New Roman" w:hAnsi="Times New Roman" w:eastAsia="黑体" w:cs="Times New Roman"/>
          <w:b w:val="0"/>
          <w:bCs/>
          <w:sz w:val="30"/>
          <w:szCs w:val="30"/>
        </w:rPr>
        <w:fldChar w:fldCharType="begin"/>
      </w:r>
      <w:r>
        <w:rPr>
          <w:rFonts w:hint="default" w:ascii="Times New Roman" w:hAnsi="Times New Roman" w:eastAsia="黑体" w:cs="Times New Roman"/>
          <w:b w:val="0"/>
          <w:bCs/>
          <w:sz w:val="30"/>
          <w:szCs w:val="30"/>
        </w:rPr>
        <w:instrText xml:space="preserve"> PAGEREF _Toc24950 \h </w:instrText>
      </w:r>
      <w:r>
        <w:rPr>
          <w:rFonts w:hint="default" w:ascii="Times New Roman" w:hAnsi="Times New Roman" w:eastAsia="黑体" w:cs="Times New Roman"/>
          <w:b w:val="0"/>
          <w:bCs/>
          <w:sz w:val="30"/>
          <w:szCs w:val="30"/>
        </w:rPr>
        <w:fldChar w:fldCharType="separate"/>
      </w:r>
      <w:r>
        <w:rPr>
          <w:rFonts w:hint="default" w:ascii="Times New Roman" w:hAnsi="Times New Roman" w:eastAsia="黑体" w:cs="Times New Roman"/>
          <w:b w:val="0"/>
          <w:bCs/>
          <w:sz w:val="30"/>
          <w:szCs w:val="30"/>
        </w:rPr>
        <w:t>29</w:t>
      </w:r>
      <w:r>
        <w:rPr>
          <w:rFonts w:hint="default" w:ascii="Times New Roman" w:hAnsi="Times New Roman" w:eastAsia="黑体" w:cs="Times New Roman"/>
          <w:b w:val="0"/>
          <w:bCs/>
          <w:sz w:val="30"/>
          <w:szCs w:val="30"/>
        </w:rPr>
        <w:fldChar w:fldCharType="end"/>
      </w:r>
      <w:r>
        <w:rPr>
          <w:rFonts w:hint="default" w:ascii="Times New Roman" w:hAnsi="Times New Roman" w:eastAsia="黑体" w:cs="Times New Roman"/>
          <w:b w:val="0"/>
          <w:bCs/>
          <w:color w:val="auto"/>
          <w:sz w:val="30"/>
          <w:szCs w:val="30"/>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sz w:val="30"/>
          <w:szCs w:val="30"/>
        </w:rPr>
      </w:pPr>
      <w:r>
        <w:rPr>
          <w:rFonts w:hint="default" w:ascii="Times New Roman" w:hAnsi="Times New Roman" w:eastAsia="黑体" w:cs="Times New Roman"/>
          <w:b w:val="0"/>
          <w:bCs/>
          <w:color w:val="auto"/>
          <w:sz w:val="30"/>
          <w:szCs w:val="30"/>
          <w:highlight w:val="none"/>
          <w:lang w:val="en-US" w:eastAsia="zh-CN"/>
        </w:rPr>
        <w:fldChar w:fldCharType="begin"/>
      </w:r>
      <w:r>
        <w:rPr>
          <w:rFonts w:hint="default" w:ascii="Times New Roman" w:hAnsi="Times New Roman" w:eastAsia="黑体" w:cs="Times New Roman"/>
          <w:b w:val="0"/>
          <w:bCs/>
          <w:sz w:val="30"/>
          <w:szCs w:val="30"/>
          <w:highlight w:val="none"/>
          <w:lang w:val="en-US" w:eastAsia="zh-CN"/>
        </w:rPr>
        <w:instrText xml:space="preserve"> HYPERLINK \l _Toc5796 </w:instrText>
      </w:r>
      <w:r>
        <w:rPr>
          <w:rFonts w:hint="default" w:ascii="Times New Roman" w:hAnsi="Times New Roman" w:eastAsia="黑体" w:cs="Times New Roman"/>
          <w:b w:val="0"/>
          <w:bCs/>
          <w:sz w:val="30"/>
          <w:szCs w:val="30"/>
          <w:highlight w:val="none"/>
          <w:lang w:val="en-US" w:eastAsia="zh-CN"/>
        </w:rPr>
        <w:fldChar w:fldCharType="separate"/>
      </w:r>
      <w:r>
        <w:rPr>
          <w:rFonts w:hint="default" w:ascii="Times New Roman" w:hAnsi="Times New Roman" w:eastAsia="黑体" w:cs="Times New Roman"/>
          <w:b w:val="0"/>
          <w:bCs/>
          <w:kern w:val="2"/>
          <w:sz w:val="30"/>
          <w:szCs w:val="30"/>
          <w:highlight w:val="none"/>
          <w:lang w:val="en-US" w:eastAsia="zh-CN" w:bidi="ar-SA"/>
        </w:rPr>
        <w:t>附表4：山西省生活垃圾焚烧发电储备项目表</w:t>
      </w:r>
      <w:r>
        <w:rPr>
          <w:rFonts w:hint="default" w:ascii="Times New Roman" w:hAnsi="Times New Roman" w:eastAsia="黑体" w:cs="Times New Roman"/>
          <w:b w:val="0"/>
          <w:bCs/>
          <w:sz w:val="30"/>
          <w:szCs w:val="30"/>
        </w:rPr>
        <w:tab/>
      </w:r>
      <w:r>
        <w:rPr>
          <w:rFonts w:hint="default" w:ascii="Times New Roman" w:hAnsi="Times New Roman" w:eastAsia="黑体" w:cs="Times New Roman"/>
          <w:b w:val="0"/>
          <w:bCs/>
          <w:sz w:val="30"/>
          <w:szCs w:val="30"/>
        </w:rPr>
        <w:fldChar w:fldCharType="begin"/>
      </w:r>
      <w:r>
        <w:rPr>
          <w:rFonts w:hint="default" w:ascii="Times New Roman" w:hAnsi="Times New Roman" w:eastAsia="黑体" w:cs="Times New Roman"/>
          <w:b w:val="0"/>
          <w:bCs/>
          <w:sz w:val="30"/>
          <w:szCs w:val="30"/>
        </w:rPr>
        <w:instrText xml:space="preserve"> PAGEREF _Toc5796 \h </w:instrText>
      </w:r>
      <w:r>
        <w:rPr>
          <w:rFonts w:hint="default" w:ascii="Times New Roman" w:hAnsi="Times New Roman" w:eastAsia="黑体" w:cs="Times New Roman"/>
          <w:b w:val="0"/>
          <w:bCs/>
          <w:sz w:val="30"/>
          <w:szCs w:val="30"/>
        </w:rPr>
        <w:fldChar w:fldCharType="separate"/>
      </w:r>
      <w:r>
        <w:rPr>
          <w:rFonts w:hint="default" w:ascii="Times New Roman" w:hAnsi="Times New Roman" w:eastAsia="黑体" w:cs="Times New Roman"/>
          <w:b w:val="0"/>
          <w:bCs/>
          <w:sz w:val="30"/>
          <w:szCs w:val="30"/>
        </w:rPr>
        <w:t>30</w:t>
      </w:r>
      <w:r>
        <w:rPr>
          <w:rFonts w:hint="default" w:ascii="Times New Roman" w:hAnsi="Times New Roman" w:eastAsia="黑体" w:cs="Times New Roman"/>
          <w:b w:val="0"/>
          <w:bCs/>
          <w:sz w:val="30"/>
          <w:szCs w:val="30"/>
        </w:rPr>
        <w:fldChar w:fldCharType="end"/>
      </w:r>
      <w:r>
        <w:rPr>
          <w:rFonts w:hint="default" w:ascii="Times New Roman" w:hAnsi="Times New Roman" w:eastAsia="黑体" w:cs="Times New Roman"/>
          <w:b w:val="0"/>
          <w:bCs/>
          <w:color w:val="auto"/>
          <w:sz w:val="30"/>
          <w:szCs w:val="30"/>
          <w:highlight w:val="none"/>
          <w:lang w:val="en-US" w:eastAsia="zh-CN"/>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kern w:val="2"/>
          <w:sz w:val="30"/>
          <w:szCs w:val="30"/>
          <w:highlight w:val="none"/>
          <w:lang w:val="en-US" w:eastAsia="zh-CN" w:bidi="ar-SA"/>
        </w:rPr>
      </w:pPr>
      <w:r>
        <w:rPr>
          <w:rFonts w:hint="default" w:ascii="Times New Roman" w:hAnsi="Times New Roman" w:eastAsia="黑体" w:cs="Times New Roman"/>
          <w:b w:val="0"/>
          <w:bCs/>
          <w:kern w:val="2"/>
          <w:sz w:val="30"/>
          <w:szCs w:val="30"/>
          <w:highlight w:val="none"/>
          <w:lang w:val="en-US" w:eastAsia="zh-CN" w:bidi="ar-SA"/>
        </w:rPr>
        <w:fldChar w:fldCharType="begin"/>
      </w:r>
      <w:r>
        <w:rPr>
          <w:rFonts w:hint="default" w:ascii="Times New Roman" w:hAnsi="Times New Roman" w:eastAsia="黑体" w:cs="Times New Roman"/>
          <w:b w:val="0"/>
          <w:bCs/>
          <w:kern w:val="2"/>
          <w:sz w:val="30"/>
          <w:szCs w:val="30"/>
          <w:highlight w:val="none"/>
          <w:lang w:val="en-US" w:eastAsia="zh-CN" w:bidi="ar-SA"/>
        </w:rPr>
        <w:instrText xml:space="preserve"> HYPERLINK \l _Toc14167 </w:instrText>
      </w:r>
      <w:r>
        <w:rPr>
          <w:rFonts w:hint="default" w:ascii="Times New Roman" w:hAnsi="Times New Roman" w:eastAsia="黑体" w:cs="Times New Roman"/>
          <w:b w:val="0"/>
          <w:bCs/>
          <w:kern w:val="2"/>
          <w:sz w:val="30"/>
          <w:szCs w:val="30"/>
          <w:highlight w:val="none"/>
          <w:lang w:val="en-US" w:eastAsia="zh-CN" w:bidi="ar-SA"/>
        </w:rPr>
        <w:fldChar w:fldCharType="separate"/>
      </w:r>
      <w:r>
        <w:rPr>
          <w:rFonts w:hint="default" w:ascii="Times New Roman" w:hAnsi="Times New Roman" w:eastAsia="黑体" w:cs="Times New Roman"/>
          <w:b w:val="0"/>
          <w:bCs/>
          <w:kern w:val="2"/>
          <w:sz w:val="30"/>
          <w:szCs w:val="30"/>
          <w:highlight w:val="none"/>
          <w:lang w:val="en-US" w:eastAsia="zh-CN" w:bidi="ar-SA"/>
        </w:rPr>
        <w:t>附图1：已建生活垃圾焚烧项目布局图</w:t>
      </w:r>
      <w:r>
        <w:rPr>
          <w:rFonts w:hint="default" w:ascii="Times New Roman" w:hAnsi="Times New Roman" w:eastAsia="黑体" w:cs="Times New Roman"/>
          <w:b w:val="0"/>
          <w:bCs/>
          <w:kern w:val="2"/>
          <w:sz w:val="30"/>
          <w:szCs w:val="30"/>
          <w:highlight w:val="none"/>
          <w:lang w:val="en-US" w:eastAsia="zh-CN" w:bidi="ar-SA"/>
        </w:rPr>
        <w:tab/>
      </w:r>
      <w:r>
        <w:rPr>
          <w:rFonts w:hint="default" w:ascii="Times New Roman" w:hAnsi="Times New Roman" w:eastAsia="黑体" w:cs="Times New Roman"/>
          <w:b w:val="0"/>
          <w:bCs/>
          <w:kern w:val="2"/>
          <w:sz w:val="30"/>
          <w:szCs w:val="30"/>
          <w:highlight w:val="none"/>
          <w:lang w:val="en-US" w:eastAsia="zh-CN" w:bidi="ar-SA"/>
        </w:rPr>
        <w:fldChar w:fldCharType="begin"/>
      </w:r>
      <w:r>
        <w:rPr>
          <w:rFonts w:hint="default" w:ascii="Times New Roman" w:hAnsi="Times New Roman" w:eastAsia="黑体" w:cs="Times New Roman"/>
          <w:b w:val="0"/>
          <w:bCs/>
          <w:kern w:val="2"/>
          <w:sz w:val="30"/>
          <w:szCs w:val="30"/>
          <w:highlight w:val="none"/>
          <w:lang w:val="en-US" w:eastAsia="zh-CN" w:bidi="ar-SA"/>
        </w:rPr>
        <w:instrText xml:space="preserve"> PAGEREF _Toc14167 \h </w:instrText>
      </w:r>
      <w:r>
        <w:rPr>
          <w:rFonts w:hint="default" w:ascii="Times New Roman" w:hAnsi="Times New Roman" w:eastAsia="黑体" w:cs="Times New Roman"/>
          <w:b w:val="0"/>
          <w:bCs/>
          <w:kern w:val="2"/>
          <w:sz w:val="30"/>
          <w:szCs w:val="30"/>
          <w:highlight w:val="none"/>
          <w:lang w:val="en-US" w:eastAsia="zh-CN" w:bidi="ar-SA"/>
        </w:rPr>
        <w:fldChar w:fldCharType="separate"/>
      </w:r>
      <w:r>
        <w:rPr>
          <w:rFonts w:hint="default" w:ascii="Times New Roman" w:hAnsi="Times New Roman" w:eastAsia="黑体" w:cs="Times New Roman"/>
          <w:b w:val="0"/>
          <w:bCs/>
          <w:kern w:val="2"/>
          <w:sz w:val="30"/>
          <w:szCs w:val="30"/>
          <w:highlight w:val="none"/>
          <w:lang w:val="en-US" w:eastAsia="zh-CN" w:bidi="ar-SA"/>
        </w:rPr>
        <w:t>31</w:t>
      </w:r>
      <w:r>
        <w:rPr>
          <w:rFonts w:hint="default" w:ascii="Times New Roman" w:hAnsi="Times New Roman" w:eastAsia="黑体" w:cs="Times New Roman"/>
          <w:b w:val="0"/>
          <w:bCs/>
          <w:kern w:val="2"/>
          <w:sz w:val="30"/>
          <w:szCs w:val="30"/>
          <w:highlight w:val="none"/>
          <w:lang w:val="en-US" w:eastAsia="zh-CN" w:bidi="ar-SA"/>
        </w:rPr>
        <w:fldChar w:fldCharType="end"/>
      </w:r>
      <w:r>
        <w:rPr>
          <w:rFonts w:hint="default" w:ascii="Times New Roman" w:hAnsi="Times New Roman" w:eastAsia="黑体" w:cs="Times New Roman"/>
          <w:b w:val="0"/>
          <w:bCs/>
          <w:kern w:val="2"/>
          <w:sz w:val="30"/>
          <w:szCs w:val="30"/>
          <w:highlight w:val="none"/>
          <w:lang w:val="en-US" w:eastAsia="zh-CN" w:bidi="ar-SA"/>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eastAsia="黑体" w:cs="Times New Roman"/>
          <w:b w:val="0"/>
          <w:bCs/>
          <w:kern w:val="2"/>
          <w:sz w:val="30"/>
          <w:szCs w:val="30"/>
          <w:highlight w:val="none"/>
          <w:lang w:val="en-US" w:eastAsia="zh-CN" w:bidi="ar-SA"/>
        </w:rPr>
      </w:pPr>
      <w:r>
        <w:rPr>
          <w:rFonts w:hint="default" w:ascii="Times New Roman" w:hAnsi="Times New Roman" w:eastAsia="黑体" w:cs="Times New Roman"/>
          <w:b w:val="0"/>
          <w:bCs/>
          <w:kern w:val="2"/>
          <w:sz w:val="30"/>
          <w:szCs w:val="30"/>
          <w:highlight w:val="none"/>
          <w:lang w:val="en-US" w:eastAsia="zh-CN" w:bidi="ar-SA"/>
        </w:rPr>
        <w:fldChar w:fldCharType="begin"/>
      </w:r>
      <w:r>
        <w:rPr>
          <w:rFonts w:hint="default" w:ascii="Times New Roman" w:hAnsi="Times New Roman" w:eastAsia="黑体" w:cs="Times New Roman"/>
          <w:b w:val="0"/>
          <w:bCs/>
          <w:kern w:val="2"/>
          <w:sz w:val="30"/>
          <w:szCs w:val="30"/>
          <w:highlight w:val="none"/>
          <w:lang w:val="en-US" w:eastAsia="zh-CN" w:bidi="ar-SA"/>
        </w:rPr>
        <w:instrText xml:space="preserve"> HYPERLINK \l _Toc524 </w:instrText>
      </w:r>
      <w:r>
        <w:rPr>
          <w:rFonts w:hint="default" w:ascii="Times New Roman" w:hAnsi="Times New Roman" w:eastAsia="黑体" w:cs="Times New Roman"/>
          <w:b w:val="0"/>
          <w:bCs/>
          <w:kern w:val="2"/>
          <w:sz w:val="30"/>
          <w:szCs w:val="30"/>
          <w:highlight w:val="none"/>
          <w:lang w:val="en-US" w:eastAsia="zh-CN" w:bidi="ar-SA"/>
        </w:rPr>
        <w:fldChar w:fldCharType="separate"/>
      </w:r>
      <w:r>
        <w:rPr>
          <w:rFonts w:hint="default" w:ascii="Times New Roman" w:hAnsi="Times New Roman" w:eastAsia="黑体" w:cs="Times New Roman"/>
          <w:b w:val="0"/>
          <w:bCs/>
          <w:kern w:val="2"/>
          <w:sz w:val="30"/>
          <w:szCs w:val="30"/>
          <w:highlight w:val="none"/>
          <w:lang w:val="en-US" w:eastAsia="zh-CN" w:bidi="ar-SA"/>
        </w:rPr>
        <w:t>附图2：2023—2025年生活垃圾焚烧项目布局图</w:t>
      </w:r>
      <w:r>
        <w:rPr>
          <w:rFonts w:hint="default" w:ascii="Times New Roman" w:hAnsi="Times New Roman" w:eastAsia="黑体" w:cs="Times New Roman"/>
          <w:b w:val="0"/>
          <w:bCs/>
          <w:kern w:val="2"/>
          <w:sz w:val="30"/>
          <w:szCs w:val="30"/>
          <w:highlight w:val="none"/>
          <w:lang w:val="en-US" w:eastAsia="zh-CN" w:bidi="ar-SA"/>
        </w:rPr>
        <w:tab/>
      </w:r>
      <w:r>
        <w:rPr>
          <w:rFonts w:hint="default" w:ascii="Times New Roman" w:hAnsi="Times New Roman" w:eastAsia="黑体" w:cs="Times New Roman"/>
          <w:b w:val="0"/>
          <w:bCs/>
          <w:kern w:val="2"/>
          <w:sz w:val="30"/>
          <w:szCs w:val="30"/>
          <w:highlight w:val="none"/>
          <w:lang w:val="en-US" w:eastAsia="zh-CN" w:bidi="ar-SA"/>
        </w:rPr>
        <w:fldChar w:fldCharType="begin"/>
      </w:r>
      <w:r>
        <w:rPr>
          <w:rFonts w:hint="default" w:ascii="Times New Roman" w:hAnsi="Times New Roman" w:eastAsia="黑体" w:cs="Times New Roman"/>
          <w:b w:val="0"/>
          <w:bCs/>
          <w:kern w:val="2"/>
          <w:sz w:val="30"/>
          <w:szCs w:val="30"/>
          <w:highlight w:val="none"/>
          <w:lang w:val="en-US" w:eastAsia="zh-CN" w:bidi="ar-SA"/>
        </w:rPr>
        <w:instrText xml:space="preserve"> PAGEREF _Toc524 \h </w:instrText>
      </w:r>
      <w:r>
        <w:rPr>
          <w:rFonts w:hint="default" w:ascii="Times New Roman" w:hAnsi="Times New Roman" w:eastAsia="黑体" w:cs="Times New Roman"/>
          <w:b w:val="0"/>
          <w:bCs/>
          <w:kern w:val="2"/>
          <w:sz w:val="30"/>
          <w:szCs w:val="30"/>
          <w:highlight w:val="none"/>
          <w:lang w:val="en-US" w:eastAsia="zh-CN" w:bidi="ar-SA"/>
        </w:rPr>
        <w:fldChar w:fldCharType="separate"/>
      </w:r>
      <w:r>
        <w:rPr>
          <w:rFonts w:hint="default" w:ascii="Times New Roman" w:hAnsi="Times New Roman" w:eastAsia="黑体" w:cs="Times New Roman"/>
          <w:b w:val="0"/>
          <w:bCs/>
          <w:kern w:val="2"/>
          <w:sz w:val="30"/>
          <w:szCs w:val="30"/>
          <w:highlight w:val="none"/>
          <w:lang w:val="en-US" w:eastAsia="zh-CN" w:bidi="ar-SA"/>
        </w:rPr>
        <w:t>32</w:t>
      </w:r>
      <w:r>
        <w:rPr>
          <w:rFonts w:hint="default" w:ascii="Times New Roman" w:hAnsi="Times New Roman" w:eastAsia="黑体" w:cs="Times New Roman"/>
          <w:b w:val="0"/>
          <w:bCs/>
          <w:kern w:val="2"/>
          <w:sz w:val="30"/>
          <w:szCs w:val="30"/>
          <w:highlight w:val="none"/>
          <w:lang w:val="en-US" w:eastAsia="zh-CN" w:bidi="ar-SA"/>
        </w:rPr>
        <w:fldChar w:fldCharType="end"/>
      </w:r>
      <w:r>
        <w:rPr>
          <w:rFonts w:hint="default" w:ascii="Times New Roman" w:hAnsi="Times New Roman" w:eastAsia="黑体" w:cs="Times New Roman"/>
          <w:b w:val="0"/>
          <w:bCs/>
          <w:kern w:val="2"/>
          <w:sz w:val="30"/>
          <w:szCs w:val="30"/>
          <w:highlight w:val="none"/>
          <w:lang w:val="en-US" w:eastAsia="zh-CN" w:bidi="ar-SA"/>
        </w:rPr>
        <w:fldChar w:fldCharType="end"/>
      </w:r>
    </w:p>
    <w:p>
      <w:pPr>
        <w:pStyle w:val="11"/>
        <w:widowControl w:val="0"/>
        <w:tabs>
          <w:tab w:val="right" w:leader="dot" w:pos="8306"/>
        </w:tabs>
        <w:wordWrap/>
        <w:adjustRightInd/>
        <w:snapToGrid/>
        <w:ind w:firstLine="0" w:firstLineChars="0"/>
        <w:textAlignment w:val="auto"/>
        <w:rPr>
          <w:rFonts w:hint="default" w:ascii="Times New Roman" w:hAnsi="Times New Roman" w:cs="Times New Roman"/>
          <w:sz w:val="30"/>
          <w:szCs w:val="30"/>
        </w:rPr>
      </w:pPr>
      <w:r>
        <w:rPr>
          <w:rFonts w:hint="default" w:ascii="Times New Roman" w:hAnsi="Times New Roman" w:eastAsia="黑体" w:cs="Times New Roman"/>
          <w:b w:val="0"/>
          <w:bCs/>
          <w:kern w:val="2"/>
          <w:sz w:val="30"/>
          <w:szCs w:val="30"/>
          <w:highlight w:val="none"/>
          <w:lang w:val="en-US" w:eastAsia="zh-CN" w:bidi="ar-SA"/>
        </w:rPr>
        <w:fldChar w:fldCharType="begin"/>
      </w:r>
      <w:r>
        <w:rPr>
          <w:rFonts w:hint="default" w:ascii="Times New Roman" w:hAnsi="Times New Roman" w:eastAsia="黑体" w:cs="Times New Roman"/>
          <w:b w:val="0"/>
          <w:bCs/>
          <w:kern w:val="2"/>
          <w:sz w:val="30"/>
          <w:szCs w:val="30"/>
          <w:highlight w:val="none"/>
          <w:lang w:val="en-US" w:eastAsia="zh-CN" w:bidi="ar-SA"/>
        </w:rPr>
        <w:instrText xml:space="preserve"> HYPERLINK \l _Toc11983 </w:instrText>
      </w:r>
      <w:r>
        <w:rPr>
          <w:rFonts w:hint="default" w:ascii="Times New Roman" w:hAnsi="Times New Roman" w:eastAsia="黑体" w:cs="Times New Roman"/>
          <w:b w:val="0"/>
          <w:bCs/>
          <w:kern w:val="2"/>
          <w:sz w:val="30"/>
          <w:szCs w:val="30"/>
          <w:highlight w:val="none"/>
          <w:lang w:val="en-US" w:eastAsia="zh-CN" w:bidi="ar-SA"/>
        </w:rPr>
        <w:fldChar w:fldCharType="separate"/>
      </w:r>
      <w:r>
        <w:rPr>
          <w:rFonts w:hint="default" w:ascii="Times New Roman" w:hAnsi="Times New Roman" w:eastAsia="黑体" w:cs="Times New Roman"/>
          <w:b w:val="0"/>
          <w:bCs/>
          <w:kern w:val="2"/>
          <w:sz w:val="30"/>
          <w:szCs w:val="30"/>
          <w:highlight w:val="none"/>
          <w:lang w:val="en-US" w:eastAsia="zh-CN" w:bidi="ar-SA"/>
        </w:rPr>
        <w:t>附图3：2026—2030年生活垃圾焚烧项目布局图</w:t>
      </w:r>
      <w:r>
        <w:rPr>
          <w:rFonts w:hint="default" w:ascii="Times New Roman" w:hAnsi="Times New Roman" w:eastAsia="黑体" w:cs="Times New Roman"/>
          <w:b w:val="0"/>
          <w:bCs/>
          <w:kern w:val="2"/>
          <w:sz w:val="30"/>
          <w:szCs w:val="30"/>
          <w:highlight w:val="none"/>
          <w:lang w:val="en-US" w:eastAsia="zh-CN" w:bidi="ar-SA"/>
        </w:rPr>
        <w:tab/>
      </w:r>
      <w:r>
        <w:rPr>
          <w:rFonts w:hint="default" w:ascii="Times New Roman" w:hAnsi="Times New Roman" w:eastAsia="黑体" w:cs="Times New Roman"/>
          <w:b w:val="0"/>
          <w:bCs/>
          <w:kern w:val="2"/>
          <w:sz w:val="30"/>
          <w:szCs w:val="30"/>
          <w:highlight w:val="none"/>
          <w:lang w:val="en-US" w:eastAsia="zh-CN" w:bidi="ar-SA"/>
        </w:rPr>
        <w:fldChar w:fldCharType="begin"/>
      </w:r>
      <w:r>
        <w:rPr>
          <w:rFonts w:hint="default" w:ascii="Times New Roman" w:hAnsi="Times New Roman" w:eastAsia="黑体" w:cs="Times New Roman"/>
          <w:b w:val="0"/>
          <w:bCs/>
          <w:kern w:val="2"/>
          <w:sz w:val="30"/>
          <w:szCs w:val="30"/>
          <w:highlight w:val="none"/>
          <w:lang w:val="en-US" w:eastAsia="zh-CN" w:bidi="ar-SA"/>
        </w:rPr>
        <w:instrText xml:space="preserve"> PAGEREF _Toc11983 \h </w:instrText>
      </w:r>
      <w:r>
        <w:rPr>
          <w:rFonts w:hint="default" w:ascii="Times New Roman" w:hAnsi="Times New Roman" w:eastAsia="黑体" w:cs="Times New Roman"/>
          <w:b w:val="0"/>
          <w:bCs/>
          <w:kern w:val="2"/>
          <w:sz w:val="30"/>
          <w:szCs w:val="30"/>
          <w:highlight w:val="none"/>
          <w:lang w:val="en-US" w:eastAsia="zh-CN" w:bidi="ar-SA"/>
        </w:rPr>
        <w:fldChar w:fldCharType="separate"/>
      </w:r>
      <w:r>
        <w:rPr>
          <w:rFonts w:hint="default" w:ascii="Times New Roman" w:hAnsi="Times New Roman" w:eastAsia="黑体" w:cs="Times New Roman"/>
          <w:b w:val="0"/>
          <w:bCs/>
          <w:kern w:val="2"/>
          <w:sz w:val="30"/>
          <w:szCs w:val="30"/>
          <w:highlight w:val="none"/>
          <w:lang w:val="en-US" w:eastAsia="zh-CN" w:bidi="ar-SA"/>
        </w:rPr>
        <w:t>33</w:t>
      </w:r>
      <w:r>
        <w:rPr>
          <w:rFonts w:hint="default" w:ascii="Times New Roman" w:hAnsi="Times New Roman" w:eastAsia="黑体" w:cs="Times New Roman"/>
          <w:b w:val="0"/>
          <w:bCs/>
          <w:kern w:val="2"/>
          <w:sz w:val="30"/>
          <w:szCs w:val="30"/>
          <w:highlight w:val="none"/>
          <w:lang w:val="en-US" w:eastAsia="zh-CN" w:bidi="ar-SA"/>
        </w:rPr>
        <w:fldChar w:fldCharType="end"/>
      </w:r>
      <w:r>
        <w:rPr>
          <w:rFonts w:hint="default" w:ascii="Times New Roman" w:hAnsi="Times New Roman" w:eastAsia="黑体" w:cs="Times New Roman"/>
          <w:b w:val="0"/>
          <w:bCs/>
          <w:kern w:val="2"/>
          <w:sz w:val="30"/>
          <w:szCs w:val="30"/>
          <w:highlight w:val="none"/>
          <w:lang w:val="en-US" w:eastAsia="zh-CN" w:bidi="ar-SA"/>
        </w:rPr>
        <w:fldChar w:fldCharType="end"/>
      </w:r>
    </w:p>
    <w:p>
      <w:pPr>
        <w:pStyle w:val="2"/>
        <w:widowControl w:val="0"/>
        <w:wordWrap/>
        <w:adjustRightInd/>
        <w:snapToGrid/>
        <w:spacing w:before="0" w:after="0" w:line="240" w:lineRule="auto"/>
        <w:ind w:left="0" w:leftChars="0" w:right="0" w:firstLine="0" w:firstLineChars="0"/>
        <w:jc w:val="center"/>
        <w:textAlignment w:val="auto"/>
        <w:rPr>
          <w:rFonts w:hint="default" w:ascii="Times New Roman" w:hAnsi="Times New Roman" w:eastAsia="仿宋" w:cs="Times New Roman"/>
          <w:b/>
          <w:color w:val="auto"/>
          <w:kern w:val="2"/>
          <w:sz w:val="24"/>
          <w:szCs w:val="22"/>
          <w:highlight w:val="none"/>
          <w:lang w:val="en-US" w:eastAsia="zh-CN" w:bidi="ar-SA"/>
        </w:rPr>
        <w:sectPr>
          <w:footerReference r:id="rId6"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charSpace="0"/>
        </w:sectPr>
      </w:pPr>
      <w:r>
        <w:rPr>
          <w:rFonts w:hint="default" w:ascii="Times New Roman" w:hAnsi="Times New Roman" w:eastAsia="仿宋" w:cs="Times New Roman"/>
          <w:b/>
          <w:color w:val="auto"/>
          <w:highlight w:val="none"/>
          <w:lang w:val="en-US" w:eastAsia="zh-CN"/>
        </w:rPr>
        <w:fldChar w:fldCharType="end"/>
      </w:r>
    </w:p>
    <w:p>
      <w:pP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推进生活垃圾焚烧处理设施建设是强化环境基础设施建设的重要基础</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为全面贯彻落实党的二十大精神，</w:t>
      </w:r>
      <w:r>
        <w:rPr>
          <w:rFonts w:hint="default" w:ascii="Times New Roman" w:hAnsi="Times New Roman" w:eastAsia="仿宋" w:cs="Times New Roman"/>
          <w:color w:val="auto"/>
          <w:highlight w:val="none"/>
          <w:lang w:eastAsia="zh-CN"/>
        </w:rPr>
        <w:t>深入</w:t>
      </w:r>
      <w:r>
        <w:rPr>
          <w:rFonts w:hint="default" w:ascii="Times New Roman" w:hAnsi="Times New Roman" w:eastAsia="仿宋" w:cs="Times New Roman"/>
          <w:color w:val="auto"/>
          <w:highlight w:val="none"/>
        </w:rPr>
        <w:t>贯彻落实党中央、国务院有关决策部署，全面提升生活垃圾焚烧处理能力，进一步优化全省生活垃圾焚烧发电设施布局</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rPr>
        <w:t>根据《</w:t>
      </w:r>
      <w:r>
        <w:rPr>
          <w:rFonts w:hint="default" w:ascii="Times New Roman" w:hAnsi="Times New Roman" w:eastAsia="仿宋" w:cs="Times New Roman"/>
          <w:color w:val="auto"/>
          <w:highlight w:val="none"/>
          <w:lang w:eastAsia="zh-CN"/>
        </w:rPr>
        <w:t>国家发展改革委</w:t>
      </w:r>
      <w:r>
        <w:rPr>
          <w:rFonts w:hint="default" w:ascii="Times New Roman" w:hAnsi="Times New Roman" w:eastAsia="仿宋" w:cs="Times New Roman"/>
          <w:color w:val="auto"/>
          <w:highlight w:val="none"/>
          <w:lang w:val="en-US" w:eastAsia="zh-CN"/>
        </w:rPr>
        <w:t xml:space="preserve"> </w:t>
      </w:r>
      <w:r>
        <w:rPr>
          <w:rFonts w:hint="default" w:ascii="Times New Roman" w:hAnsi="Times New Roman" w:eastAsia="仿宋" w:cs="Times New Roman"/>
          <w:color w:val="auto"/>
          <w:highlight w:val="none"/>
          <w:lang w:eastAsia="zh-CN"/>
        </w:rPr>
        <w:t>住房城乡建设部</w:t>
      </w:r>
      <w:r>
        <w:rPr>
          <w:rFonts w:hint="default" w:ascii="Times New Roman" w:hAnsi="Times New Roman" w:eastAsia="仿宋" w:cs="Times New Roman"/>
          <w:color w:val="auto"/>
          <w:highlight w:val="none"/>
          <w:lang w:val="en-US" w:eastAsia="zh-CN"/>
        </w:rPr>
        <w:t>关于印发〈</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十四五</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城镇生活垃圾分类和处理设施发展规划</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的通知</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eastAsia="zh-CN"/>
        </w:rPr>
        <w:t>（发改环资〔2021〕642号）、</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i w:val="0"/>
          <w:iCs w:val="0"/>
          <w:caps w:val="0"/>
          <w:color w:val="auto"/>
          <w:spacing w:val="0"/>
          <w:sz w:val="32"/>
          <w:szCs w:val="24"/>
          <w:highlight w:val="none"/>
        </w:rPr>
        <w:t>国家</w:t>
      </w:r>
      <w:r>
        <w:rPr>
          <w:rFonts w:hint="default" w:ascii="Times New Roman" w:hAnsi="Times New Roman" w:eastAsia="仿宋" w:cs="Times New Roman"/>
          <w:i w:val="0"/>
          <w:iCs w:val="0"/>
          <w:caps w:val="0"/>
          <w:color w:val="auto"/>
          <w:spacing w:val="0"/>
          <w:sz w:val="32"/>
          <w:szCs w:val="24"/>
          <w:highlight w:val="none"/>
          <w:shd w:val="clear" w:color="auto" w:fill="auto"/>
        </w:rPr>
        <w:t>发展改革委 住房城乡建设部 生态环境部 财政部</w:t>
      </w:r>
      <w:r>
        <w:rPr>
          <w:rFonts w:hint="default" w:ascii="Times New Roman" w:hAnsi="Times New Roman" w:eastAsia="仿宋" w:cs="Times New Roman"/>
          <w:i w:val="0"/>
          <w:iCs w:val="0"/>
          <w:caps w:val="0"/>
          <w:color w:val="auto"/>
          <w:spacing w:val="0"/>
          <w:sz w:val="32"/>
          <w:szCs w:val="24"/>
          <w:highlight w:val="none"/>
          <w:shd w:val="clear" w:color="auto" w:fill="auto"/>
          <w:lang w:val="en-US" w:eastAsia="zh-CN"/>
        </w:rPr>
        <w:t xml:space="preserve"> </w:t>
      </w:r>
      <w:r>
        <w:rPr>
          <w:rFonts w:hint="default" w:ascii="Times New Roman" w:hAnsi="Times New Roman" w:eastAsia="仿宋" w:cs="Times New Roman"/>
          <w:i w:val="0"/>
          <w:iCs w:val="0"/>
          <w:caps w:val="0"/>
          <w:color w:val="auto"/>
          <w:spacing w:val="0"/>
          <w:sz w:val="32"/>
          <w:szCs w:val="24"/>
          <w:highlight w:val="none"/>
          <w:shd w:val="clear" w:color="auto" w:fill="auto"/>
        </w:rPr>
        <w:t>人民银行</w:t>
      </w:r>
      <w:r>
        <w:rPr>
          <w:rFonts w:hint="default" w:ascii="Times New Roman" w:hAnsi="Times New Roman" w:eastAsia="仿宋" w:cs="Times New Roman"/>
          <w:color w:val="auto"/>
          <w:highlight w:val="none"/>
          <w:lang w:val="en-US" w:eastAsia="zh-CN"/>
        </w:rPr>
        <w:t>关于加强县级地区生活垃圾焚烧处理设施建设的指导意见》（发改环资〔2022〕1746号）和《</w:t>
      </w:r>
      <w:r>
        <w:rPr>
          <w:rFonts w:hint="default" w:ascii="Times New Roman" w:hAnsi="Times New Roman" w:eastAsia="仿宋" w:cs="Times New Roman"/>
          <w:i w:val="0"/>
          <w:iCs w:val="0"/>
          <w:caps w:val="0"/>
          <w:color w:val="auto"/>
          <w:spacing w:val="0"/>
          <w:sz w:val="32"/>
          <w:szCs w:val="24"/>
          <w:highlight w:val="none"/>
        </w:rPr>
        <w:t>国家发展改革委 住房和城乡建设部</w:t>
      </w:r>
      <w:r>
        <w:rPr>
          <w:rFonts w:hint="default" w:ascii="Times New Roman" w:hAnsi="Times New Roman" w:eastAsia="仿宋" w:cs="Times New Roman"/>
          <w:color w:val="auto"/>
          <w:highlight w:val="none"/>
          <w:lang w:val="en-US" w:eastAsia="zh-CN"/>
        </w:rPr>
        <w:t>关于加快补齐县级地区生活垃圾焚烧处理设施短板弱项的实施方案的通知》（发改环资〔2022〕1863号）等相关文件要求</w:t>
      </w:r>
      <w:r>
        <w:rPr>
          <w:rFonts w:hint="default" w:ascii="Times New Roman" w:hAnsi="Times New Roman" w:eastAsia="仿宋" w:cs="Times New Roman"/>
          <w:color w:val="auto"/>
          <w:highlight w:val="none"/>
        </w:rPr>
        <w:t>，结合全省经济社会发展需要与各地实际，省发展改革委</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省住建厅</w:t>
      </w:r>
      <w:r>
        <w:rPr>
          <w:rFonts w:hint="default" w:ascii="Times New Roman" w:hAnsi="Times New Roman" w:eastAsia="仿宋" w:cs="Times New Roman"/>
          <w:color w:val="auto"/>
          <w:highlight w:val="none"/>
        </w:rPr>
        <w:t>开展了《</w:t>
      </w:r>
      <w:r>
        <w:rPr>
          <w:rFonts w:hint="default" w:ascii="Times New Roman" w:hAnsi="Times New Roman" w:eastAsia="仿宋" w:cs="Times New Roman"/>
          <w:color w:val="auto"/>
          <w:highlight w:val="none"/>
          <w:lang w:val="en-US" w:eastAsia="zh-CN"/>
        </w:rPr>
        <w:t>山西</w:t>
      </w:r>
      <w:r>
        <w:rPr>
          <w:rFonts w:hint="default" w:ascii="Times New Roman" w:hAnsi="Times New Roman" w:eastAsia="仿宋" w:cs="Times New Roman"/>
          <w:color w:val="auto"/>
          <w:highlight w:val="none"/>
        </w:rPr>
        <w:t>省垃圾焚烧发电中长期专项规划</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201</w:t>
      </w:r>
      <w:r>
        <w:rPr>
          <w:rFonts w:hint="default" w:ascii="Times New Roman" w:hAnsi="Times New Roman" w:eastAsia="仿宋" w:cs="Times New Roman"/>
          <w:color w:val="auto"/>
          <w:highlight w:val="none"/>
          <w:lang w:val="en-US" w:eastAsia="zh-CN"/>
        </w:rPr>
        <w:t>8</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2030年</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》修订工作，形成了《</w:t>
      </w:r>
      <w:r>
        <w:rPr>
          <w:rFonts w:hint="default" w:ascii="Times New Roman" w:hAnsi="Times New Roman" w:eastAsia="仿宋" w:cs="Times New Roman"/>
          <w:color w:val="auto"/>
          <w:highlight w:val="none"/>
          <w:lang w:val="en-US" w:eastAsia="zh-CN"/>
        </w:rPr>
        <w:t>山西</w:t>
      </w:r>
      <w:r>
        <w:rPr>
          <w:rFonts w:hint="default" w:ascii="Times New Roman" w:hAnsi="Times New Roman" w:eastAsia="仿宋" w:cs="Times New Roman"/>
          <w:color w:val="auto"/>
          <w:highlight w:val="none"/>
        </w:rPr>
        <w:t>省垃圾焚烧发电中长期</w:t>
      </w:r>
      <w:r>
        <w:rPr>
          <w:rFonts w:hint="default" w:ascii="Times New Roman" w:hAnsi="Times New Roman" w:eastAsia="仿宋" w:cs="Times New Roman"/>
          <w:color w:val="auto"/>
          <w:highlight w:val="none"/>
          <w:lang w:val="en-US" w:eastAsia="zh-CN"/>
        </w:rPr>
        <w:t>专项</w:t>
      </w:r>
      <w:r>
        <w:rPr>
          <w:rFonts w:hint="default" w:ascii="Times New Roman" w:hAnsi="Times New Roman" w:eastAsia="仿宋" w:cs="Times New Roman"/>
          <w:color w:val="auto"/>
          <w:highlight w:val="none"/>
        </w:rPr>
        <w:t>规划</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202</w:t>
      </w:r>
      <w:r>
        <w:rPr>
          <w:rFonts w:hint="default" w:ascii="Times New Roman" w:hAnsi="Times New Roman" w:eastAsia="仿宋" w:cs="Times New Roman"/>
          <w:color w:val="auto"/>
          <w:highlight w:val="none"/>
          <w:lang w:val="en-US" w:eastAsia="zh-CN"/>
        </w:rPr>
        <w:t>3</w:t>
      </w:r>
      <w:r>
        <w:rPr>
          <w:rFonts w:hint="default" w:ascii="Times New Roman" w:hAnsi="Times New Roman" w:eastAsia="仿宋" w:cs="Times New Roman"/>
          <w:color w:val="auto"/>
          <w:highlight w:val="none"/>
        </w:rPr>
        <w:t>年修订</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highlight w:val="none"/>
          <w:lang w:eastAsia="zh-CN"/>
        </w:rPr>
        <w:t>规划范围</w:t>
      </w:r>
      <w:r>
        <w:rPr>
          <w:rFonts w:hint="default" w:ascii="Times New Roman" w:hAnsi="Times New Roman" w:eastAsia="仿宋" w:cs="Times New Roman"/>
          <w:color w:val="auto"/>
          <w:highlight w:val="none"/>
          <w:lang w:val="en-US" w:eastAsia="zh-CN"/>
        </w:rPr>
        <w:t>涵盖全省，规划期至2030年。</w:t>
      </w:r>
    </w:p>
    <w:p>
      <w:pPr>
        <w:pStyle w:val="3"/>
        <w:rPr>
          <w:rFonts w:hint="default" w:ascii="Times New Roman" w:hAnsi="Times New Roman" w:cs="Times New Roman"/>
          <w:lang w:val="en-US" w:eastAsia="zh-CN"/>
        </w:rPr>
      </w:pPr>
      <w:bookmarkStart w:id="4" w:name="_Toc17076"/>
      <w:bookmarkStart w:id="5" w:name="_Toc4405"/>
      <w:bookmarkStart w:id="6" w:name="_Toc5552"/>
      <w:bookmarkStart w:id="7" w:name="_Toc20514"/>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"_Toc36138611"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一、发展基础</w:t>
      </w:r>
      <w:r>
        <w:rPr>
          <w:rFonts w:hint="default" w:ascii="Times New Roman" w:hAnsi="Times New Roman" w:cs="Times New Roman"/>
          <w:lang w:val="en-US" w:eastAsia="zh-CN"/>
        </w:rPr>
        <w:fldChar w:fldCharType="end"/>
      </w:r>
      <w:bookmarkEnd w:id="4"/>
      <w:bookmarkEnd w:id="5"/>
      <w:bookmarkEnd w:id="6"/>
      <w:bookmarkEnd w:id="7"/>
    </w:p>
    <w:p>
      <w:pPr>
        <w:pStyle w:val="4"/>
        <w:rPr>
          <w:rFonts w:hint="default" w:ascii="Times New Roman" w:hAnsi="Times New Roman" w:eastAsia="方正楷体_GBK" w:cs="Times New Roman"/>
          <w:color w:val="auto"/>
          <w:highlight w:val="none"/>
          <w:u w:val="none"/>
          <w:lang w:val="en-US" w:eastAsia="zh-CN"/>
        </w:rPr>
      </w:pPr>
      <w:bookmarkStart w:id="8" w:name="_Toc29327"/>
      <w:bookmarkStart w:id="9" w:name="_Toc9198"/>
      <w:bookmarkStart w:id="10" w:name="_Toc15294"/>
      <w:bookmarkStart w:id="11" w:name="_Toc714"/>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"_Toc36138612"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（一）</w:t>
      </w:r>
      <w:r>
        <w:rPr>
          <w:rFonts w:hint="default" w:ascii="Times New Roman" w:hAnsi="Times New Roman" w:cs="Times New Roman"/>
          <w:lang w:val="en-US" w:eastAsia="zh-CN"/>
        </w:rPr>
        <w:fldChar w:fldCharType="end"/>
      </w:r>
      <w:bookmarkEnd w:id="8"/>
      <w:bookmarkEnd w:id="9"/>
      <w:bookmarkEnd w:id="10"/>
      <w:r>
        <w:rPr>
          <w:rFonts w:hint="default" w:ascii="Times New Roman" w:hAnsi="Times New Roman" w:cs="Times New Roman"/>
          <w:lang w:val="en-US" w:eastAsia="zh-CN"/>
        </w:rPr>
        <w:t>发展成效</w:t>
      </w:r>
      <w:bookmarkEnd w:id="11"/>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rPr>
        <w:t>生活垃圾处理能力</w:t>
      </w:r>
      <w:r>
        <w:rPr>
          <w:rFonts w:hint="default" w:ascii="Times New Roman" w:hAnsi="Times New Roman" w:eastAsia="仿宋" w:cs="Times New Roman"/>
          <w:b/>
          <w:bCs/>
          <w:color w:val="auto"/>
          <w:highlight w:val="none"/>
          <w:lang w:val="en-US" w:eastAsia="zh-CN"/>
        </w:rPr>
        <w:t>明显提升</w:t>
      </w:r>
      <w:r>
        <w:rPr>
          <w:rFonts w:hint="default" w:ascii="Times New Roman" w:hAnsi="Times New Roman" w:eastAsia="仿宋" w:cs="Times New Roman"/>
          <w:b/>
          <w:bCs/>
          <w:color w:val="auto"/>
          <w:highlight w:val="none"/>
          <w:lang w:eastAsia="zh-CN"/>
        </w:rPr>
        <w:t>。</w:t>
      </w:r>
      <w:r>
        <w:rPr>
          <w:rFonts w:hint="default" w:ascii="Times New Roman" w:hAnsi="Times New Roman" w:eastAsia="仿宋" w:cs="Times New Roman"/>
          <w:b w:val="0"/>
          <w:bCs w:val="0"/>
          <w:color w:val="auto"/>
          <w:highlight w:val="none"/>
          <w:lang w:val="en-US" w:eastAsia="zh-CN"/>
        </w:rPr>
        <w:t>近</w:t>
      </w:r>
      <w:r>
        <w:rPr>
          <w:rFonts w:hint="default" w:ascii="Times New Roman" w:hAnsi="Times New Roman" w:eastAsia="仿宋" w:cs="Times New Roman"/>
          <w:color w:val="auto"/>
          <w:highlight w:val="none"/>
          <w:lang w:val="en-US" w:eastAsia="zh-CN"/>
        </w:rPr>
        <w:t>年来，山西城镇生活垃圾处理设施建设明显加快，生活垃圾无害化处理能力大幅提升，基本做到生活垃圾无害化处理设施全覆盖，生活垃圾污染问题得到有效控制。截至目前，全省建成生活垃圾处理设施100个，处理能力34075吨/日，其中填埋设施81个、处理能力15715吨/日，焚烧设施19个、处理能力18360吨/日；无害化处理能力100%，较2015年提升3个百分点。</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rPr>
        <w:t>生活垃圾处理设施结构</w:t>
      </w:r>
      <w:r>
        <w:rPr>
          <w:rFonts w:hint="default" w:ascii="Times New Roman" w:hAnsi="Times New Roman" w:eastAsia="仿宋" w:cs="Times New Roman"/>
          <w:b/>
          <w:bCs/>
          <w:color w:val="auto"/>
          <w:highlight w:val="none"/>
          <w:lang w:val="en-US" w:eastAsia="zh-CN"/>
        </w:rPr>
        <w:t>显著</w:t>
      </w:r>
      <w:r>
        <w:rPr>
          <w:rFonts w:hint="default" w:ascii="Times New Roman" w:hAnsi="Times New Roman" w:eastAsia="仿宋" w:cs="Times New Roman"/>
          <w:b/>
          <w:bCs/>
          <w:color w:val="auto"/>
          <w:highlight w:val="none"/>
        </w:rPr>
        <w:t>优化</w:t>
      </w:r>
      <w:r>
        <w:rPr>
          <w:rFonts w:hint="default" w:ascii="Times New Roman" w:hAnsi="Times New Roman" w:eastAsia="仿宋" w:cs="Times New Roman"/>
          <w:b/>
          <w:bCs/>
          <w:color w:val="auto"/>
          <w:highlight w:val="none"/>
          <w:lang w:eastAsia="zh-CN"/>
        </w:rPr>
        <w:t>。</w:t>
      </w:r>
      <w:r>
        <w:rPr>
          <w:rFonts w:hint="default" w:ascii="Times New Roman" w:hAnsi="Times New Roman" w:eastAsia="仿宋" w:cs="Times New Roman"/>
          <w:color w:val="auto"/>
          <w:highlight w:val="none"/>
          <w:lang w:val="en-US" w:eastAsia="zh-CN"/>
        </w:rPr>
        <w:t>截至目前，全省焚烧设施处理能力占比</w:t>
      </w:r>
      <w:r>
        <w:rPr>
          <w:rFonts w:hint="default" w:ascii="Times New Roman" w:hAnsi="Times New Roman" w:eastAsia="仿宋" w:cs="Times New Roman"/>
          <w:b w:val="0"/>
          <w:bCs w:val="0"/>
          <w:color w:val="auto"/>
          <w:highlight w:val="none"/>
          <w:lang w:val="en-US" w:eastAsia="zh-CN"/>
        </w:rPr>
        <w:t>约54%，较2015年提升28个百分点，其中</w:t>
      </w:r>
      <w:r>
        <w:rPr>
          <w:rFonts w:hint="default" w:ascii="Times New Roman" w:hAnsi="Times New Roman" w:eastAsia="仿宋" w:cs="Times New Roman"/>
          <w:color w:val="auto"/>
          <w:highlight w:val="none"/>
          <w:u w:val="none"/>
          <w:lang w:val="en-US" w:eastAsia="zh-CN"/>
        </w:rPr>
        <w:t>设市城市生活垃圾焚烧处理能力95%</w:t>
      </w:r>
      <w:r>
        <w:rPr>
          <w:rFonts w:hint="default" w:ascii="Times New Roman" w:hAnsi="Times New Roman" w:eastAsia="仿宋" w:cs="Times New Roman"/>
          <w:color w:val="auto"/>
          <w:highlight w:val="none"/>
          <w:lang w:val="en-US" w:eastAsia="zh-CN"/>
        </w:rPr>
        <w:t>，较</w:t>
      </w:r>
      <w:r>
        <w:rPr>
          <w:rFonts w:hint="default" w:ascii="Times New Roman" w:hAnsi="Times New Roman" w:eastAsia="仿宋" w:cs="Times New Roman"/>
          <w:b w:val="0"/>
          <w:bCs w:val="0"/>
          <w:color w:val="auto"/>
          <w:highlight w:val="none"/>
          <w:lang w:val="en-US" w:eastAsia="zh-CN"/>
        </w:rPr>
        <w:t>2015年</w:t>
      </w:r>
      <w:r>
        <w:rPr>
          <w:rFonts w:hint="default" w:ascii="Times New Roman" w:hAnsi="Times New Roman" w:eastAsia="仿宋" w:cs="Times New Roman"/>
          <w:color w:val="auto"/>
          <w:highlight w:val="none"/>
          <w:lang w:val="en-US" w:eastAsia="zh-CN"/>
        </w:rPr>
        <w:t>提升63</w:t>
      </w:r>
      <w:r>
        <w:rPr>
          <w:rFonts w:hint="default" w:ascii="Times New Roman" w:hAnsi="Times New Roman" w:eastAsia="仿宋" w:cs="Times New Roman"/>
          <w:b w:val="0"/>
          <w:bCs w:val="0"/>
          <w:color w:val="auto"/>
          <w:highlight w:val="none"/>
          <w:lang w:val="en-US" w:eastAsia="zh-CN"/>
        </w:rPr>
        <w:t>个百分点</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u w:val="none"/>
          <w:lang w:val="en-US" w:eastAsia="zh-CN"/>
        </w:rPr>
        <w:t>初步形成了新增处理能力以焚烧为主的垃圾处理发展格局。</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rPr>
        <w:t>生活垃圾</w:t>
      </w:r>
      <w:r>
        <w:rPr>
          <w:rFonts w:hint="default" w:ascii="Times New Roman" w:hAnsi="Times New Roman" w:eastAsia="仿宋" w:cs="Times New Roman"/>
          <w:b/>
          <w:bCs/>
          <w:color w:val="auto"/>
          <w:highlight w:val="none"/>
          <w:lang w:val="en-US" w:eastAsia="zh-CN"/>
        </w:rPr>
        <w:t>焚烧发电项目发展迅速</w:t>
      </w:r>
      <w:r>
        <w:rPr>
          <w:rFonts w:hint="default" w:ascii="Times New Roman" w:hAnsi="Times New Roman" w:eastAsia="仿宋" w:cs="Times New Roman"/>
          <w:b/>
          <w:bCs/>
          <w:color w:val="auto"/>
          <w:highlight w:val="none"/>
          <w:lang w:eastAsia="zh-CN"/>
        </w:rPr>
        <w:t>。</w:t>
      </w:r>
      <w:r>
        <w:rPr>
          <w:rFonts w:hint="default" w:ascii="Times New Roman" w:hAnsi="Times New Roman" w:eastAsia="仿宋" w:cs="Times New Roman"/>
          <w:color w:val="auto"/>
          <w:highlight w:val="none"/>
          <w:lang w:val="en-US" w:eastAsia="zh-CN"/>
        </w:rPr>
        <w:t>随着生活垃圾分类工作扎实推进以及生活垃圾焚烧发电技术的不断发展，全省批复建设了一批生活垃圾焚烧发电项目，对实现垃圾减量化、资源化和无害化，改善城乡环境卫生状况，解决“垃圾围城”“垃圾上山下乡”等问题发挥了重要作用。截至目前，全省已建成的19个生活垃圾焚烧设施中，焚烧发电设施18个，处理能力18000吨/日，装机规模382兆瓦。</w:t>
      </w:r>
    </w:p>
    <w:p>
      <w:pPr>
        <w:rPr>
          <w:rFonts w:hint="default" w:ascii="Times New Roman" w:hAnsi="Times New Roman" w:eastAsia="仿宋" w:cs="Times New Roman"/>
          <w:color w:val="auto"/>
          <w:highlight w:val="none"/>
          <w:u w:val="none"/>
          <w:lang w:val="en-US" w:eastAsia="zh-CN"/>
        </w:rPr>
      </w:pPr>
      <w:r>
        <w:rPr>
          <w:rFonts w:hint="default" w:ascii="Times New Roman" w:hAnsi="Times New Roman" w:eastAsia="仿宋" w:cs="Times New Roman"/>
          <w:b/>
          <w:bCs/>
          <w:color w:val="auto"/>
          <w:highlight w:val="none"/>
          <w:lang w:val="en-US" w:eastAsia="zh-CN"/>
        </w:rPr>
        <w:t>生活垃圾焚烧服务范围不断扩大。</w:t>
      </w:r>
      <w:r>
        <w:rPr>
          <w:rFonts w:hint="default" w:ascii="Times New Roman" w:hAnsi="Times New Roman" w:eastAsia="仿宋" w:cs="Times New Roman"/>
          <w:color w:val="auto"/>
          <w:highlight w:val="none"/>
          <w:lang w:val="en-US" w:eastAsia="zh-CN"/>
        </w:rPr>
        <w:t>截至目前，</w:t>
      </w:r>
      <w:r>
        <w:rPr>
          <w:rFonts w:hint="default" w:ascii="Times New Roman" w:hAnsi="Times New Roman" w:eastAsia="仿宋" w:cs="Times New Roman"/>
          <w:color w:val="auto"/>
          <w:highlight w:val="none"/>
          <w:u w:val="none"/>
          <w:lang w:val="en-US" w:eastAsia="zh-CN"/>
        </w:rPr>
        <w:t>全省22个城市和80个县城中，已有</w:t>
      </w:r>
      <w:r>
        <w:rPr>
          <w:rFonts w:hint="eastAsia" w:eastAsia="仿宋" w:cs="Times New Roman"/>
          <w:color w:val="auto"/>
          <w:highlight w:val="none"/>
          <w:u w:val="none"/>
          <w:lang w:val="en-US" w:eastAsia="zh-CN"/>
        </w:rPr>
        <w:t>11</w:t>
      </w:r>
      <w:r>
        <w:rPr>
          <w:rFonts w:hint="default" w:ascii="Times New Roman" w:hAnsi="Times New Roman" w:eastAsia="仿宋" w:cs="Times New Roman"/>
          <w:color w:val="auto"/>
          <w:highlight w:val="none"/>
          <w:u w:val="none"/>
          <w:lang w:val="en-US" w:eastAsia="zh-CN"/>
        </w:rPr>
        <w:t>个地级市、7个县级市及周边22个县城实现了生活垃圾焚烧处理，</w:t>
      </w:r>
      <w:r>
        <w:rPr>
          <w:rFonts w:hint="default" w:ascii="Times New Roman" w:hAnsi="Times New Roman" w:eastAsia="仿宋" w:cs="Times New Roman"/>
          <w:color w:val="auto"/>
          <w:highlight w:val="none"/>
          <w:lang w:val="en-US" w:eastAsia="zh-CN"/>
        </w:rPr>
        <w:t>其余</w:t>
      </w:r>
      <w:r>
        <w:rPr>
          <w:rFonts w:hint="default" w:ascii="Times New Roman" w:hAnsi="Times New Roman" w:eastAsia="仿宋" w:cs="Times New Roman"/>
          <w:color w:val="auto"/>
          <w:highlight w:val="none"/>
          <w:u w:val="none"/>
          <w:lang w:val="en-US" w:eastAsia="zh-CN"/>
        </w:rPr>
        <w:t>58个县城生活垃圾采用填埋处理。</w:t>
      </w:r>
    </w:p>
    <w:p>
      <w:pPr>
        <w:pStyle w:val="4"/>
        <w:rPr>
          <w:rFonts w:hint="default" w:ascii="Times New Roman" w:hAnsi="Times New Roman" w:cs="Times New Roman"/>
          <w:lang w:val="en-US" w:eastAsia="zh-CN"/>
        </w:rPr>
      </w:pPr>
      <w:bookmarkStart w:id="12" w:name="_Toc5139"/>
      <w:bookmarkStart w:id="13" w:name="_Toc28606"/>
      <w:bookmarkStart w:id="14" w:name="_Toc15511"/>
      <w:bookmarkStart w:id="15" w:name="_Toc1860"/>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"_Toc36138613"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（二）存在问题</w:t>
      </w:r>
      <w:r>
        <w:rPr>
          <w:rFonts w:hint="default" w:ascii="Times New Roman" w:hAnsi="Times New Roman" w:cs="Times New Roman"/>
          <w:lang w:val="en-US" w:eastAsia="zh-CN"/>
        </w:rPr>
        <w:fldChar w:fldCharType="end"/>
      </w:r>
      <w:bookmarkEnd w:id="12"/>
      <w:bookmarkEnd w:id="13"/>
      <w:bookmarkEnd w:id="14"/>
      <w:bookmarkEnd w:id="15"/>
    </w:p>
    <w:p>
      <w:pPr>
        <w:rPr>
          <w:rFonts w:hint="default" w:ascii="Times New Roman" w:hAnsi="Times New Roman" w:eastAsia="仿宋" w:cs="Times New Roman"/>
          <w:color w:val="auto"/>
          <w:highlight w:val="none"/>
          <w:u w:val="none"/>
          <w:lang w:val="en-US" w:eastAsia="zh-CN"/>
        </w:rPr>
      </w:pPr>
      <w:r>
        <w:rPr>
          <w:rFonts w:hint="default" w:ascii="Times New Roman" w:hAnsi="Times New Roman" w:eastAsia="仿宋" w:cs="Times New Roman"/>
          <w:b/>
          <w:bCs/>
          <w:color w:val="auto"/>
          <w:highlight w:val="none"/>
          <w:lang w:val="en-US" w:eastAsia="zh-CN"/>
        </w:rPr>
        <w:t>生活垃圾焚烧设施布局不均衡。</w:t>
      </w:r>
      <w:r>
        <w:rPr>
          <w:rFonts w:hint="default" w:ascii="Times New Roman" w:hAnsi="Times New Roman" w:eastAsia="仿宋" w:cs="Times New Roman"/>
          <w:color w:val="auto"/>
          <w:highlight w:val="none"/>
          <w:lang w:val="en-US" w:eastAsia="zh-CN"/>
        </w:rPr>
        <w:t>当前，全省生活垃圾焚烧设施建设主要布局在地级市和县级市，县级及以下地区生活垃圾处理仍以填埋为主，</w:t>
      </w:r>
      <w:r>
        <w:rPr>
          <w:rFonts w:hint="default" w:ascii="Times New Roman" w:hAnsi="Times New Roman" w:eastAsia="仿宋" w:cs="Times New Roman"/>
          <w:color w:val="auto"/>
          <w:highlight w:val="none"/>
          <w:u w:val="none"/>
          <w:lang w:val="en-US" w:eastAsia="zh-CN"/>
        </w:rPr>
        <w:t>且大多数填埋场面临服务能力趋于饱和、接近使用年限需封场的困境。随着农村地区人民生活水平的日益提高，现有生活垃圾处理能力将无法满足全省城乡一体化条件下生活垃圾全量处理的需求，亟待加快推进县城</w:t>
      </w:r>
      <w:r>
        <w:rPr>
          <w:rFonts w:hint="default" w:ascii="Times New Roman" w:hAnsi="Times New Roman" w:eastAsia="仿宋" w:cs="Times New Roman"/>
          <w:color w:val="auto"/>
          <w:szCs w:val="24"/>
          <w:highlight w:val="none"/>
          <w:u w:val="none"/>
          <w:lang w:val="en-US" w:eastAsia="zh-CN"/>
        </w:rPr>
        <w:t>生活垃圾焚烧处理</w:t>
      </w:r>
      <w:r>
        <w:rPr>
          <w:rFonts w:hint="default" w:ascii="Times New Roman" w:hAnsi="Times New Roman" w:eastAsia="仿宋" w:cs="Times New Roman"/>
          <w:color w:val="auto"/>
          <w:highlight w:val="none"/>
          <w:u w:val="none"/>
          <w:lang w:val="en-US" w:eastAsia="zh-CN"/>
        </w:rPr>
        <w:t>设施规划和建设。</w:t>
      </w:r>
    </w:p>
    <w:p>
      <w:pPr>
        <w:rPr>
          <w:rFonts w:hint="default" w:ascii="Times New Roman" w:hAnsi="Times New Roman" w:eastAsia="仿宋" w:cs="Times New Roman"/>
          <w:color w:val="auto"/>
          <w:highlight w:val="none"/>
          <w:u w:val="none"/>
          <w:lang w:val="en-US" w:eastAsia="zh-CN"/>
        </w:rPr>
      </w:pPr>
      <w:r>
        <w:rPr>
          <w:rFonts w:hint="default" w:ascii="Times New Roman" w:hAnsi="Times New Roman" w:eastAsia="仿宋" w:cs="Times New Roman"/>
          <w:b/>
          <w:bCs/>
          <w:color w:val="auto"/>
          <w:highlight w:val="none"/>
          <w:lang w:val="en-US" w:eastAsia="zh-CN"/>
        </w:rPr>
        <w:t>生活垃圾焚烧设施服务范围不合理。</w:t>
      </w:r>
      <w:r>
        <w:rPr>
          <w:rFonts w:hint="default" w:ascii="Times New Roman" w:hAnsi="Times New Roman" w:eastAsia="仿宋" w:cs="Times New Roman"/>
          <w:color w:val="auto"/>
          <w:highlight w:val="none"/>
          <w:u w:val="none"/>
          <w:lang w:val="en-US" w:eastAsia="zh-CN"/>
        </w:rPr>
        <w:t>近年来，我省各市县经济的快速发展，生活垃圾处置需求增加，但是生活垃圾焚烧设施服务范围未能实现区域统筹，造成个别相邻市县出现处理能力不足和处理能力过剩并存的问题，亟待打破行政壁垒，不断优化设施布局。</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生活垃圾焚烧发电机组配置不科学。</w:t>
      </w:r>
      <w:r>
        <w:rPr>
          <w:rFonts w:hint="default" w:ascii="Times New Roman" w:hAnsi="Times New Roman" w:eastAsia="仿宋" w:cs="Times New Roman"/>
          <w:color w:val="auto"/>
          <w:highlight w:val="none"/>
          <w:lang w:val="en-US" w:eastAsia="zh-CN"/>
        </w:rPr>
        <w:t>随着人民生活水平日益提高和生活垃圾分类工作的扎实推进，生活垃圾热值显著提升，余热锅炉产汽量同步上升，加之生活垃圾焚烧发电技术不断发展，焚烧发电厂热效率不断提高，机组配置需求增加，导致部分项目发电机组配置不能满足实际需求，造成能源浪费，亟待优化发电机组规模，提升电厂运行效率。</w:t>
      </w:r>
    </w:p>
    <w:p>
      <w:pPr>
        <w:pStyle w:val="3"/>
        <w:rPr>
          <w:rFonts w:hint="default" w:ascii="Times New Roman" w:hAnsi="Times New Roman" w:cs="Times New Roman"/>
          <w:lang w:val="en-US" w:eastAsia="zh-CN"/>
        </w:rPr>
      </w:pPr>
      <w:bookmarkStart w:id="16" w:name="_Toc28269"/>
      <w:bookmarkStart w:id="17" w:name="_Toc27344"/>
      <w:bookmarkStart w:id="18" w:name="_Toc21227"/>
      <w:bookmarkStart w:id="19" w:name="_Toc9713"/>
      <w:r>
        <w:rPr>
          <w:rFonts w:hint="default" w:ascii="Times New Roman" w:hAnsi="Times New Roman" w:cs="Times New Roman"/>
          <w:lang w:val="en-US" w:eastAsia="zh-CN"/>
        </w:rPr>
        <w:t>二、总体要求</w:t>
      </w:r>
      <w:bookmarkEnd w:id="16"/>
      <w:bookmarkEnd w:id="17"/>
      <w:bookmarkEnd w:id="18"/>
      <w:bookmarkEnd w:id="19"/>
    </w:p>
    <w:p>
      <w:pPr>
        <w:pStyle w:val="4"/>
        <w:rPr>
          <w:rFonts w:hint="default" w:ascii="Times New Roman" w:hAnsi="Times New Roman" w:cs="Times New Roman"/>
          <w:lang w:val="en-US" w:eastAsia="zh-CN"/>
        </w:rPr>
      </w:pPr>
      <w:bookmarkStart w:id="20" w:name="_Toc3264"/>
      <w:bookmarkStart w:id="21" w:name="_Toc7655"/>
      <w:bookmarkStart w:id="22" w:name="_Toc21365"/>
      <w:bookmarkStart w:id="23" w:name="_Toc329"/>
      <w:r>
        <w:rPr>
          <w:rFonts w:hint="default" w:ascii="Times New Roman" w:hAnsi="Times New Roman" w:cs="Times New Roman"/>
          <w:lang w:val="en-US" w:eastAsia="zh-CN"/>
        </w:rPr>
        <w:t>（一）指导思想</w:t>
      </w:r>
      <w:bookmarkEnd w:id="20"/>
      <w:bookmarkEnd w:id="21"/>
      <w:bookmarkEnd w:id="22"/>
      <w:bookmarkEnd w:id="23"/>
    </w:p>
    <w:p>
      <w:pPr>
        <w:rPr>
          <w:rFonts w:hint="default" w:ascii="Times New Roman" w:hAnsi="Times New Roman" w:eastAsia="仿宋" w:cs="Times New Roman"/>
          <w:color w:val="auto"/>
          <w:highlight w:val="none"/>
          <w:u w:val="none"/>
          <w:lang w:val="en-US" w:eastAsia="zh-CN"/>
        </w:rPr>
      </w:pPr>
      <w:r>
        <w:rPr>
          <w:rFonts w:hint="default" w:ascii="Times New Roman" w:hAnsi="Times New Roman" w:eastAsia="仿宋" w:cs="Times New Roman"/>
          <w:color w:val="auto"/>
          <w:highlight w:val="none"/>
          <w:u w:val="none"/>
          <w:lang w:val="en-US" w:eastAsia="zh-CN"/>
        </w:rPr>
        <w:t>以习近平新时代中国特色社会主义思想为指导，全面贯彻落实党的二十大精神，深入贯彻习近平生态文明思想和考察调研山西重要指示精神，牢固树立以人民为中心的发展思想，健全城乡统筹的生活垃圾分类和处理体系，围绕快速提升生活垃圾资源化利用水平的目标，因地制宜、科学布局城乡生活垃圾焚烧发电设施建设，全面提升环境基础设施建设水平，推进城乡人居环境整治，提升生态环境质量和环境治理能力。</w:t>
      </w:r>
    </w:p>
    <w:p>
      <w:pPr>
        <w:pStyle w:val="4"/>
        <w:rPr>
          <w:rFonts w:hint="default" w:ascii="Times New Roman" w:hAnsi="Times New Roman" w:cs="Times New Roman"/>
          <w:lang w:val="en-US" w:eastAsia="zh-CN"/>
        </w:rPr>
      </w:pPr>
      <w:bookmarkStart w:id="24" w:name="_Toc11696"/>
      <w:bookmarkStart w:id="25" w:name="_Toc4441"/>
      <w:bookmarkStart w:id="26" w:name="_Toc30054"/>
      <w:bookmarkStart w:id="27" w:name="_Toc22038"/>
      <w:r>
        <w:rPr>
          <w:rFonts w:hint="default" w:ascii="Times New Roman" w:hAnsi="Times New Roman" w:cs="Times New Roman"/>
          <w:lang w:val="en-US" w:eastAsia="zh-CN"/>
        </w:rPr>
        <w:t>（二）基本原则</w:t>
      </w:r>
      <w:bookmarkEnd w:id="24"/>
      <w:bookmarkEnd w:id="25"/>
      <w:bookmarkEnd w:id="26"/>
      <w:bookmarkEnd w:id="27"/>
    </w:p>
    <w:p>
      <w:pPr>
        <w:rPr>
          <w:rFonts w:hint="default" w:ascii="Times New Roman" w:hAnsi="Times New Roman" w:eastAsia="仿宋" w:cs="Times New Roman"/>
          <w:color w:val="auto"/>
          <w:highlight w:val="none"/>
          <w:u w:val="none"/>
          <w:lang w:val="en-US" w:eastAsia="zh-CN"/>
        </w:rPr>
      </w:pPr>
      <w:r>
        <w:rPr>
          <w:rFonts w:hint="default" w:ascii="Times New Roman" w:hAnsi="Times New Roman" w:eastAsia="仿宋" w:cs="Times New Roman"/>
          <w:b/>
          <w:bCs/>
          <w:color w:val="auto"/>
          <w:highlight w:val="none"/>
          <w:u w:val="none"/>
          <w:lang w:val="en-US" w:eastAsia="zh-CN"/>
        </w:rPr>
        <w:t>统筹规划，能力共享。</w:t>
      </w:r>
      <w:r>
        <w:rPr>
          <w:rFonts w:hint="default" w:ascii="Times New Roman" w:hAnsi="Times New Roman" w:eastAsia="仿宋" w:cs="Times New Roman"/>
          <w:color w:val="auto"/>
          <w:highlight w:val="none"/>
          <w:u w:val="none"/>
          <w:lang w:val="en-US" w:eastAsia="zh-CN"/>
        </w:rPr>
        <w:t>充分考虑不同地区经济社会发展水平、地域特点、人口分布等因素，科学规划生活垃圾焚烧发电设施布局，鼓励以跨区域共建共享方式建设焚烧处理设施，提升生活垃圾焚烧处置区域服务水平。充分利用存量处理能力，合理确定新建设施规模，优化设施布局，聚焦补上能力短板，避免无序建设、低效建设和重复建设。</w:t>
      </w:r>
    </w:p>
    <w:p>
      <w:pPr>
        <w:rPr>
          <w:rFonts w:hint="default" w:ascii="Times New Roman" w:hAnsi="Times New Roman" w:eastAsia="仿宋" w:cs="Times New Roman"/>
          <w:color w:val="auto"/>
          <w:highlight w:val="none"/>
          <w:u w:val="none"/>
          <w:lang w:val="en-US" w:eastAsia="zh-CN"/>
        </w:rPr>
      </w:pPr>
      <w:r>
        <w:rPr>
          <w:rFonts w:hint="default" w:ascii="Times New Roman" w:hAnsi="Times New Roman" w:eastAsia="仿宋" w:cs="Times New Roman"/>
          <w:b/>
          <w:bCs/>
          <w:color w:val="auto"/>
          <w:highlight w:val="none"/>
          <w:u w:val="none"/>
          <w:lang w:val="en-US" w:eastAsia="zh-CN"/>
        </w:rPr>
        <w:t>优化配置，提质增效。</w:t>
      </w:r>
      <w:r>
        <w:rPr>
          <w:rFonts w:hint="default" w:ascii="Times New Roman" w:hAnsi="Times New Roman" w:eastAsia="仿宋" w:cs="Times New Roman"/>
          <w:color w:val="auto"/>
          <w:highlight w:val="none"/>
          <w:u w:val="none"/>
          <w:lang w:val="en-US" w:eastAsia="zh-CN"/>
        </w:rPr>
        <w:t>针对不同地区实际情况，客观调整现有生活垃圾焚烧发电设施处置规模，优化机组配置，提升运行效率，稳妥有序推进适用于县级地区的焚烧技术装备示范应用工作。加强新建项目质量管理，强化存量项目污染物排放监管，不断提升设施运营管理水平。</w:t>
      </w:r>
    </w:p>
    <w:p>
      <w:pPr>
        <w:rPr>
          <w:rFonts w:hint="default" w:ascii="Times New Roman" w:hAnsi="Times New Roman" w:eastAsia="仿宋" w:cs="Times New Roman"/>
          <w:color w:val="auto"/>
          <w:highlight w:val="none"/>
          <w:u w:val="none"/>
          <w:lang w:val="en-US" w:eastAsia="zh-CN"/>
        </w:rPr>
      </w:pPr>
      <w:r>
        <w:rPr>
          <w:rFonts w:hint="default" w:ascii="Times New Roman" w:hAnsi="Times New Roman" w:eastAsia="仿宋" w:cs="Times New Roman"/>
          <w:b/>
          <w:bCs/>
          <w:color w:val="auto"/>
          <w:highlight w:val="none"/>
          <w:u w:val="none"/>
          <w:lang w:val="en-US" w:eastAsia="zh-CN"/>
        </w:rPr>
        <w:t>创新机制，多元协同。</w:t>
      </w:r>
      <w:r>
        <w:rPr>
          <w:rFonts w:hint="default" w:ascii="Times New Roman" w:hAnsi="Times New Roman" w:eastAsia="仿宋" w:cs="Times New Roman"/>
          <w:color w:val="auto"/>
          <w:highlight w:val="none"/>
          <w:u w:val="none"/>
          <w:lang w:val="en-US" w:eastAsia="zh-CN"/>
        </w:rPr>
        <w:t>以科技创新为动力，提高垃圾资源化、能源化利用技术装备自主研发能力和国产化技术装备水平，不断提高生活垃圾减量化、资源化和无害化处理水平。大力推行特许经营和环境污染第三方治理等模式，鼓励各类经济实体参与生活垃圾焚烧发电设施的投资、建设和运营。</w:t>
      </w:r>
    </w:p>
    <w:p>
      <w:pPr>
        <w:rPr>
          <w:rFonts w:hint="default" w:ascii="Times New Roman" w:hAnsi="Times New Roman" w:eastAsia="仿宋" w:cs="Times New Roman"/>
          <w:color w:val="auto"/>
          <w:highlight w:val="none"/>
          <w:u w:val="none"/>
          <w:lang w:val="en-US" w:eastAsia="zh-CN"/>
        </w:rPr>
      </w:pPr>
      <w:r>
        <w:rPr>
          <w:rFonts w:hint="default" w:ascii="Times New Roman" w:hAnsi="Times New Roman" w:eastAsia="仿宋" w:cs="Times New Roman"/>
          <w:b/>
          <w:bCs/>
          <w:color w:val="auto"/>
          <w:highlight w:val="none"/>
          <w:u w:val="none"/>
          <w:lang w:val="en-US" w:eastAsia="zh-CN"/>
        </w:rPr>
        <w:t>分步实施，建管并重。</w:t>
      </w:r>
      <w:r>
        <w:rPr>
          <w:rFonts w:hint="default" w:ascii="Times New Roman" w:hAnsi="Times New Roman" w:eastAsia="仿宋" w:cs="Times New Roman"/>
          <w:b w:val="0"/>
          <w:bCs w:val="0"/>
          <w:color w:val="auto"/>
          <w:highlight w:val="none"/>
          <w:u w:val="none"/>
          <w:lang w:val="en-US" w:eastAsia="zh-CN"/>
        </w:rPr>
        <w:t>分阶段、分步骤加快推动新布局项目建设，选择先进适用技</w:t>
      </w:r>
      <w:r>
        <w:rPr>
          <w:rFonts w:hint="default" w:ascii="Times New Roman" w:hAnsi="Times New Roman" w:eastAsia="仿宋" w:cs="Times New Roman"/>
          <w:color w:val="auto"/>
          <w:highlight w:val="none"/>
          <w:u w:val="none"/>
          <w:lang w:val="en-US" w:eastAsia="zh-CN"/>
        </w:rPr>
        <w:t>术，减少原生生活垃圾填埋量。加大现有生活垃圾焚烧发电设施污染防治和改造升级力度，加强运营监管，保障处理设施持续安全、达标、稳定运行。</w:t>
      </w:r>
    </w:p>
    <w:p>
      <w:pPr>
        <w:pStyle w:val="4"/>
        <w:rPr>
          <w:rFonts w:hint="default" w:ascii="Times New Roman" w:hAnsi="Times New Roman" w:cs="Times New Roman"/>
          <w:lang w:val="en-US" w:eastAsia="zh-CN"/>
        </w:rPr>
      </w:pPr>
      <w:bookmarkStart w:id="28" w:name="_Toc22581"/>
      <w:bookmarkStart w:id="29" w:name="_Toc27006"/>
      <w:bookmarkStart w:id="30" w:name="_Toc25603"/>
      <w:bookmarkStart w:id="31" w:name="_Toc15456"/>
      <w:r>
        <w:rPr>
          <w:rFonts w:hint="default" w:ascii="Times New Roman" w:hAnsi="Times New Roman" w:cs="Times New Roman"/>
          <w:lang w:val="en-US" w:eastAsia="zh-CN"/>
        </w:rPr>
        <w:t>（三）发展目标</w:t>
      </w:r>
      <w:bookmarkEnd w:id="28"/>
      <w:bookmarkEnd w:id="29"/>
      <w:bookmarkEnd w:id="30"/>
      <w:bookmarkEnd w:id="31"/>
    </w:p>
    <w:p>
      <w:pPr>
        <w:ind w:firstLine="640" w:firstLineChars="200"/>
        <w:rPr>
          <w:rFonts w:hint="default" w:ascii="Times New Roman" w:hAnsi="Times New Roman" w:eastAsia="仿宋" w:cs="Times New Roman"/>
          <w:b w:val="0"/>
          <w:bCs w:val="0"/>
          <w:color w:val="auto"/>
          <w:highlight w:val="none"/>
          <w:u w:val="none"/>
        </w:rPr>
      </w:pPr>
      <w:r>
        <w:rPr>
          <w:rFonts w:hint="default" w:ascii="Times New Roman" w:hAnsi="Times New Roman" w:eastAsia="仿宋" w:cs="Times New Roman"/>
          <w:b w:val="0"/>
          <w:bCs w:val="0"/>
          <w:color w:val="auto"/>
          <w:highlight w:val="none"/>
          <w:u w:val="none"/>
          <w:lang w:val="en-US" w:eastAsia="zh-CN"/>
        </w:rPr>
        <w:t>到2025年，</w:t>
      </w:r>
      <w:r>
        <w:rPr>
          <w:rFonts w:hint="default" w:ascii="Times New Roman" w:hAnsi="Times New Roman" w:eastAsia="仿宋" w:cs="Times New Roman"/>
          <w:b w:val="0"/>
          <w:bCs w:val="0"/>
          <w:color w:val="auto"/>
          <w:highlight w:val="none"/>
          <w:u w:val="none"/>
        </w:rPr>
        <w:t>县</w:t>
      </w:r>
      <w:r>
        <w:rPr>
          <w:rFonts w:hint="default" w:ascii="Times New Roman" w:hAnsi="Times New Roman" w:eastAsia="仿宋" w:cs="Times New Roman"/>
          <w:b w:val="0"/>
          <w:bCs w:val="0"/>
          <w:color w:val="auto"/>
          <w:highlight w:val="none"/>
          <w:u w:val="none"/>
          <w:lang w:eastAsia="zh-CN"/>
        </w:rPr>
        <w:t>城</w:t>
      </w:r>
      <w:r>
        <w:rPr>
          <w:rFonts w:hint="default" w:ascii="Times New Roman" w:hAnsi="Times New Roman" w:eastAsia="仿宋" w:cs="Times New Roman"/>
          <w:b w:val="0"/>
          <w:bCs w:val="0"/>
          <w:color w:val="auto"/>
          <w:highlight w:val="none"/>
          <w:u w:val="none"/>
        </w:rPr>
        <w:t>基本形成与经济社会发展相适应的生活垃圾分类和处理体系，</w:t>
      </w:r>
      <w:r>
        <w:rPr>
          <w:rFonts w:hint="default" w:ascii="Times New Roman" w:hAnsi="Times New Roman" w:eastAsia="仿宋" w:cs="Times New Roman"/>
          <w:b w:val="0"/>
          <w:bCs w:val="0"/>
          <w:color w:val="auto"/>
          <w:highlight w:val="none"/>
          <w:u w:val="none"/>
          <w:lang w:val="en-US" w:eastAsia="zh-CN"/>
        </w:rPr>
        <w:t>城市实现生活垃圾焚烧处理能力全覆盖。全省生活垃圾焚烧处理能力28290吨/日，其中焚烧发电处理能力27250吨/日，装机规模622.5兆瓦。</w:t>
      </w:r>
    </w:p>
    <w:p>
      <w:pPr>
        <w:rPr>
          <w:rFonts w:hint="default" w:ascii="Times New Roman" w:hAnsi="Times New Roman" w:eastAsia="仿宋" w:cs="Times New Roman"/>
          <w:color w:val="auto"/>
          <w:highlight w:val="none"/>
          <w:u w:val="none"/>
        </w:rPr>
      </w:pPr>
      <w:r>
        <w:rPr>
          <w:rFonts w:hint="default" w:ascii="Times New Roman" w:hAnsi="Times New Roman" w:eastAsia="仿宋" w:cs="Times New Roman"/>
          <w:b w:val="0"/>
          <w:bCs w:val="0"/>
          <w:color w:val="auto"/>
          <w:highlight w:val="none"/>
          <w:u w:val="none"/>
          <w:lang w:val="en-US" w:eastAsia="zh-CN"/>
        </w:rPr>
        <w:t>到2030年，全省生活垃圾焚烧能力全覆盖。全省生活</w:t>
      </w:r>
      <w:r>
        <w:rPr>
          <w:rFonts w:hint="default" w:ascii="Times New Roman" w:hAnsi="Times New Roman" w:eastAsia="仿宋" w:cs="Times New Roman"/>
          <w:b w:val="0"/>
          <w:bCs w:val="0"/>
          <w:color w:val="auto"/>
          <w:highlight w:val="none"/>
          <w:u w:val="none"/>
        </w:rPr>
        <w:t>垃圾焚烧处理能力</w:t>
      </w:r>
      <w:r>
        <w:rPr>
          <w:rFonts w:hint="default" w:ascii="Times New Roman" w:hAnsi="Times New Roman" w:eastAsia="仿宋" w:cs="Times New Roman"/>
          <w:color w:val="auto"/>
          <w:highlight w:val="none"/>
          <w:lang w:val="en-US" w:eastAsia="zh-CN"/>
        </w:rPr>
        <w:t>33090</w:t>
      </w:r>
      <w:r>
        <w:rPr>
          <w:rFonts w:hint="default" w:ascii="Times New Roman" w:hAnsi="Times New Roman" w:eastAsia="仿宋" w:cs="Times New Roman"/>
          <w:b w:val="0"/>
          <w:bCs w:val="0"/>
          <w:color w:val="auto"/>
          <w:highlight w:val="none"/>
          <w:u w:val="none"/>
          <w:lang w:val="en-US" w:eastAsia="zh-CN"/>
        </w:rPr>
        <w:t>吨/日，其中生活垃圾焚烧发电处理能力32050吨/日，装机规模</w:t>
      </w:r>
      <w:r>
        <w:rPr>
          <w:rFonts w:hint="default" w:ascii="Times New Roman" w:hAnsi="Times New Roman" w:eastAsia="仿宋" w:cs="Times New Roman"/>
          <w:color w:val="auto"/>
          <w:highlight w:val="none"/>
          <w:lang w:val="en-US" w:eastAsia="zh-CN"/>
        </w:rPr>
        <w:t>728.5</w:t>
      </w:r>
      <w:r>
        <w:rPr>
          <w:rFonts w:hint="default" w:ascii="Times New Roman" w:hAnsi="Times New Roman" w:eastAsia="仿宋" w:cs="Times New Roman"/>
          <w:b w:val="0"/>
          <w:bCs w:val="0"/>
          <w:color w:val="auto"/>
          <w:highlight w:val="none"/>
          <w:u w:val="none"/>
          <w:lang w:val="en-US" w:eastAsia="zh-CN"/>
        </w:rPr>
        <w:t>兆瓦。</w:t>
      </w:r>
    </w:p>
    <w:p>
      <w:pPr>
        <w:pStyle w:val="3"/>
        <w:rPr>
          <w:rFonts w:hint="default" w:ascii="Times New Roman" w:hAnsi="Times New Roman" w:cs="Times New Roman"/>
          <w:lang w:val="en-US" w:eastAsia="zh-CN"/>
        </w:rPr>
      </w:pPr>
      <w:bookmarkStart w:id="32" w:name="_Toc30411"/>
      <w:bookmarkStart w:id="33" w:name="_Toc9842"/>
      <w:bookmarkStart w:id="34" w:name="_Toc28022"/>
      <w:bookmarkStart w:id="35" w:name="_Toc20443"/>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"_Toc36138622"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三、发展布局</w:t>
      </w:r>
      <w:r>
        <w:rPr>
          <w:rFonts w:hint="default" w:ascii="Times New Roman" w:hAnsi="Times New Roman" w:cs="Times New Roman"/>
          <w:lang w:val="en-US" w:eastAsia="zh-CN"/>
        </w:rPr>
        <w:fldChar w:fldCharType="end"/>
      </w:r>
      <w:bookmarkEnd w:id="32"/>
      <w:bookmarkEnd w:id="33"/>
      <w:bookmarkEnd w:id="34"/>
      <w:bookmarkEnd w:id="35"/>
    </w:p>
    <w:p>
      <w:pP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color w:val="auto"/>
          <w:highlight w:val="none"/>
          <w:lang w:val="en-US" w:eastAsia="zh-CN"/>
        </w:rPr>
        <w:t>2023—2025年，规划项目23个，关停1个，新增</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9930吨/日，装机规模240.5兆瓦。2026—2030年，规划项目9个，新增</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4800吨/日，装机规模106兆瓦。至2030年，全省生活垃圾焚烧项目50个，</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33090吨/日，其中焚烧发电设施46个，</w:t>
      </w:r>
      <w:r>
        <w:rPr>
          <w:rFonts w:hint="default" w:ascii="Times New Roman" w:hAnsi="Times New Roman" w:eastAsia="仿宋" w:cs="Times New Roman"/>
          <w:b w:val="0"/>
          <w:bCs w:val="0"/>
          <w:color w:val="auto"/>
          <w:highlight w:val="none"/>
          <w:u w:val="none"/>
          <w:lang w:val="en-US" w:eastAsia="zh-CN"/>
        </w:rPr>
        <w:t>生活垃圾焚烧发电处理能力</w:t>
      </w:r>
      <w:r>
        <w:rPr>
          <w:rFonts w:hint="default" w:ascii="Times New Roman" w:hAnsi="Times New Roman" w:eastAsia="仿宋" w:cs="Times New Roman"/>
          <w:color w:val="auto"/>
          <w:highlight w:val="none"/>
          <w:lang w:val="en-US" w:eastAsia="zh-CN"/>
        </w:rPr>
        <w:t>32050吨/日，装机规模728.5兆瓦。考虑可能存在的垃圾清运量超出预期或项目开工建设不及预期等客观因素，预留储备项目5个，处理能力2300吨/日，装机规模54兆瓦。</w:t>
      </w:r>
    </w:p>
    <w:p>
      <w:pPr>
        <w:pStyle w:val="4"/>
        <w:rPr>
          <w:rFonts w:hint="default" w:ascii="Times New Roman" w:hAnsi="Times New Roman" w:cs="Times New Roman"/>
          <w:lang w:val="en-US" w:eastAsia="zh-CN"/>
        </w:rPr>
      </w:pPr>
      <w:bookmarkStart w:id="36" w:name="_Toc9488"/>
      <w:r>
        <w:rPr>
          <w:rFonts w:hint="default" w:ascii="Times New Roman" w:hAnsi="Times New Roman" w:cs="Times New Roman"/>
          <w:lang w:val="en-US" w:eastAsia="zh-CN"/>
        </w:rPr>
        <w:t>（一）太原市（6区1市3县）</w:t>
      </w:r>
      <w:bookmarkEnd w:id="36"/>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2030年，在保障运行经济性的前提下，进一步健全与焚烧处理能力相匹配的收运系统，扩大设施覆盖范围，覆盖范围由小店区、迎泽区、杏花岭区、尖草坪区、万柏林区、晋源区、清徐县、阳曲县逐步扩大到古交市、娄烦县</w:t>
      </w:r>
      <w:r>
        <w:rPr>
          <w:rFonts w:hint="eastAsia"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zh-CN"/>
        </w:rPr>
        <w:t>确保现有设施能力得到充分利用。</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4800吨/日，装机规模110兆瓦。</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储备古交市生活垃圾焚烧发电项目，处理能力500吨/日，装机规模12兆瓦，根据规划期内生活垃圾清运量实际情况适时启动。</w:t>
      </w:r>
    </w:p>
    <w:p>
      <w:pPr>
        <w:widowControl w:val="0"/>
        <w:wordWrap/>
        <w:adjustRightInd/>
        <w:snapToGrid/>
        <w:spacing w:line="240" w:lineRule="atLeast"/>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表1： 太原市生活垃圾焚烧项目表</w:t>
      </w:r>
    </w:p>
    <w:tbl>
      <w:tblPr>
        <w:tblStyle w:val="19"/>
        <w:tblW w:w="8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022"/>
        <w:gridCol w:w="1104"/>
        <w:gridCol w:w="1159"/>
        <w:gridCol w:w="1187"/>
        <w:gridCol w:w="736"/>
        <w:gridCol w:w="1631"/>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cantSplit/>
          <w:trHeight w:val="23" w:hRule="atLeast"/>
        </w:trPr>
        <w:tc>
          <w:tcPr>
            <w:tcW w:w="6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202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1104"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建设地点</w:t>
            </w:r>
          </w:p>
        </w:tc>
        <w:tc>
          <w:tcPr>
            <w:tcW w:w="11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73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1631"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trPr>
        <w:tc>
          <w:tcPr>
            <w:tcW w:w="2702" w:type="dxa"/>
            <w:gridSpan w:val="2"/>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110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4800</w:t>
            </w:r>
          </w:p>
        </w:tc>
        <w:tc>
          <w:tcPr>
            <w:tcW w:w="1187"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110</w:t>
            </w:r>
          </w:p>
        </w:tc>
        <w:tc>
          <w:tcPr>
            <w:tcW w:w="736"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c>
          <w:tcPr>
            <w:tcW w:w="1632" w:type="dxa"/>
            <w:gridSpan w:val="2"/>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cantSplit/>
          <w:trHeight w:val="23" w:hRule="atLeast"/>
        </w:trPr>
        <w:tc>
          <w:tcPr>
            <w:tcW w:w="680"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2022"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太原市生活垃圾焚烧发电BOT项目</w:t>
            </w:r>
          </w:p>
        </w:tc>
        <w:tc>
          <w:tcPr>
            <w:tcW w:w="110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阳曲县</w:t>
            </w: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1800</w:t>
            </w:r>
          </w:p>
        </w:tc>
        <w:tc>
          <w:tcPr>
            <w:tcW w:w="1187"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30</w:t>
            </w:r>
          </w:p>
        </w:tc>
        <w:tc>
          <w:tcPr>
            <w:tcW w:w="736"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1631"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尖草坪区、杏花岭区、万柏林区、阳曲县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cantSplit/>
          <w:trHeight w:val="23" w:hRule="atLeast"/>
        </w:trPr>
        <w:tc>
          <w:tcPr>
            <w:tcW w:w="680"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2022"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太原市循环经济环卫产业示范基地生活垃圾焚烧发电BOT项目</w:t>
            </w:r>
          </w:p>
        </w:tc>
        <w:tc>
          <w:tcPr>
            <w:tcW w:w="110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清徐县</w:t>
            </w: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3000</w:t>
            </w:r>
          </w:p>
        </w:tc>
        <w:tc>
          <w:tcPr>
            <w:tcW w:w="1187"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80</w:t>
            </w:r>
          </w:p>
        </w:tc>
        <w:tc>
          <w:tcPr>
            <w:tcW w:w="736"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163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小店区、迎泽区、晋源区、清徐县、古交市、娄烦县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cantSplit/>
          <w:trHeight w:val="23" w:hRule="atLeast"/>
        </w:trPr>
        <w:tc>
          <w:tcPr>
            <w:tcW w:w="680"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w:t>
            </w:r>
          </w:p>
        </w:tc>
        <w:tc>
          <w:tcPr>
            <w:tcW w:w="2022"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古交市生活垃圾焚烧发电项目（储备）</w:t>
            </w:r>
          </w:p>
        </w:tc>
        <w:tc>
          <w:tcPr>
            <w:tcW w:w="110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古交市</w:t>
            </w: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87"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36"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储备</w:t>
            </w:r>
          </w:p>
        </w:tc>
        <w:tc>
          <w:tcPr>
            <w:tcW w:w="1631"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r>
    </w:tbl>
    <w:p>
      <w:pPr>
        <w:pStyle w:val="4"/>
        <w:rPr>
          <w:rFonts w:hint="default" w:ascii="Times New Roman" w:hAnsi="Times New Roman" w:cs="Times New Roman"/>
          <w:lang w:val="en-US" w:eastAsia="zh-CN"/>
        </w:rPr>
      </w:pPr>
      <w:bookmarkStart w:id="37" w:name="_Toc3698"/>
      <w:r>
        <w:rPr>
          <w:rFonts w:hint="default" w:ascii="Times New Roman" w:hAnsi="Times New Roman" w:cs="Times New Roman"/>
          <w:lang w:val="en-US" w:eastAsia="zh-CN"/>
        </w:rPr>
        <w:t>（二）大同市（4区6县）</w:t>
      </w:r>
      <w:bookmarkEnd w:id="37"/>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2025年，规划垃圾焚烧发电项目3个，分别为大同富乔垃圾焚烧发电有限公司发电二期扩容项目，处理能力700吨/日，装机规模15兆瓦；大同市恒山区（浑源）生活垃圾焚烧发电项目，处理能力500吨/日，装机规模15兆瓦；大同市恒山区（广灵）生活垃圾焚烧发电及供热项目，处理能力500吨/日，装机规模12兆瓦。焚烧设施覆盖范围由平城区、云冈区、新荣区、云州区逐步扩大到左云县、灵丘县、浑源县、阳高县、天镇县、广灵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2026—2030年，规划垃圾焚烧发电项目1个，为大同富乔垃圾焚烧三期扩容项目，处理能力700吨/日，装机规模15兆瓦。大同富乔垃圾焚烧三期扩容项目建成投产后，大同富乔垃圾焚烧发电项目进行协同处置技术改造，协同处置干化污泥、农林废弃物，处理能力1000吨/日，其中生活垃圾600吨/日。</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3000吨/日，装机规模87兆瓦。</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储备大同市新荣区再生资源综合利用及垃圾发电项目，处理能力300吨/日，装机规模6兆瓦，根据规划期内生活垃圾清运量实际情况适时启动。</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表2： 大同市生活垃圾焚烧项目表</w:t>
      </w:r>
    </w:p>
    <w:tbl>
      <w:tblPr>
        <w:tblStyle w:val="1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124"/>
        <w:gridCol w:w="1009"/>
        <w:gridCol w:w="1159"/>
        <w:gridCol w:w="1118"/>
        <w:gridCol w:w="764"/>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8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212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1009"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w:t>
            </w:r>
          </w:p>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地点</w:t>
            </w:r>
          </w:p>
        </w:tc>
        <w:tc>
          <w:tcPr>
            <w:tcW w:w="11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118"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76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166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808" w:type="dxa"/>
            <w:gridSpan w:val="2"/>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100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3000</w:t>
            </w:r>
          </w:p>
        </w:tc>
        <w:tc>
          <w:tcPr>
            <w:tcW w:w="1118"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87</w:t>
            </w:r>
          </w:p>
        </w:tc>
        <w:tc>
          <w:tcPr>
            <w:tcW w:w="76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c>
          <w:tcPr>
            <w:tcW w:w="1662"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8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212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大同富乔生活垃圾焚烧发电项目</w:t>
            </w:r>
            <w:r>
              <w:rPr>
                <w:rFonts w:hint="default" w:ascii="Times New Roman" w:hAnsi="Times New Roman" w:eastAsia="仿宋" w:cs="Times New Roman"/>
                <w:color w:val="auto"/>
                <w:sz w:val="22"/>
                <w:szCs w:val="22"/>
                <w:highlight w:val="none"/>
                <w:vertAlign w:val="superscript"/>
                <w:lang w:val="en-US" w:eastAsia="zh-CN"/>
              </w:rPr>
              <w:t>1</w:t>
            </w:r>
          </w:p>
        </w:tc>
        <w:tc>
          <w:tcPr>
            <w:tcW w:w="100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云冈区</w:t>
            </w: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1000</w:t>
            </w:r>
          </w:p>
        </w:tc>
        <w:tc>
          <w:tcPr>
            <w:tcW w:w="1118"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30</w:t>
            </w:r>
          </w:p>
        </w:tc>
        <w:tc>
          <w:tcPr>
            <w:tcW w:w="76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1662"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平城区、云冈区、新荣区、云州区、左云县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8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2124" w:type="dxa"/>
            <w:vAlign w:val="center"/>
          </w:tcPr>
          <w:p>
            <w:pPr>
              <w:pStyle w:val="23"/>
              <w:widowControl w:val="0"/>
              <w:wordWrap/>
              <w:adjustRightInd w:val="0"/>
              <w:snapToGrid w:val="0"/>
              <w:spacing w:line="240" w:lineRule="auto"/>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大同富乔垃圾焚烧发电有限公司发电二期扩容项目</w:t>
            </w:r>
          </w:p>
        </w:tc>
        <w:tc>
          <w:tcPr>
            <w:tcW w:w="100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云冈区</w:t>
            </w: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700</w:t>
            </w:r>
          </w:p>
        </w:tc>
        <w:tc>
          <w:tcPr>
            <w:tcW w:w="1118"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15</w:t>
            </w:r>
          </w:p>
        </w:tc>
        <w:tc>
          <w:tcPr>
            <w:tcW w:w="764" w:type="dxa"/>
            <w:vMerge w:val="restart"/>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2023-</w:t>
            </w:r>
          </w:p>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2025</w:t>
            </w:r>
          </w:p>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c>
          <w:tcPr>
            <w:tcW w:w="1662"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8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w:t>
            </w:r>
          </w:p>
        </w:tc>
        <w:tc>
          <w:tcPr>
            <w:tcW w:w="212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大同市恒山区（浑源）生活垃圾焚烧发电项目</w:t>
            </w:r>
          </w:p>
        </w:tc>
        <w:tc>
          <w:tcPr>
            <w:tcW w:w="100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浑源县</w:t>
            </w: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18"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15</w:t>
            </w:r>
          </w:p>
        </w:tc>
        <w:tc>
          <w:tcPr>
            <w:tcW w:w="764" w:type="dxa"/>
            <w:vMerge w:val="continue"/>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c>
          <w:tcPr>
            <w:tcW w:w="166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浑源县、灵丘县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8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w:t>
            </w:r>
          </w:p>
        </w:tc>
        <w:tc>
          <w:tcPr>
            <w:tcW w:w="212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大同市恒山区（广灵）生活垃圾焚烧发电及供热项目</w:t>
            </w:r>
          </w:p>
        </w:tc>
        <w:tc>
          <w:tcPr>
            <w:tcW w:w="100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广灵县</w:t>
            </w: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18"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64" w:type="dxa"/>
            <w:vMerge w:val="continue"/>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c>
          <w:tcPr>
            <w:tcW w:w="166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阳高县、天镇县、广灵县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8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w:t>
            </w:r>
          </w:p>
        </w:tc>
        <w:tc>
          <w:tcPr>
            <w:tcW w:w="212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大同富乔垃圾焚烧发电有限公司发电三期项目</w:t>
            </w:r>
          </w:p>
        </w:tc>
        <w:tc>
          <w:tcPr>
            <w:tcW w:w="100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云冈区</w:t>
            </w: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700</w:t>
            </w:r>
          </w:p>
        </w:tc>
        <w:tc>
          <w:tcPr>
            <w:tcW w:w="1118"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15</w:t>
            </w:r>
          </w:p>
        </w:tc>
        <w:tc>
          <w:tcPr>
            <w:tcW w:w="76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2026-</w:t>
            </w:r>
          </w:p>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2030</w:t>
            </w:r>
          </w:p>
        </w:tc>
        <w:tc>
          <w:tcPr>
            <w:tcW w:w="166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同项目1、2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8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w:t>
            </w:r>
          </w:p>
        </w:tc>
        <w:tc>
          <w:tcPr>
            <w:tcW w:w="212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大同市新荣区再生资源综合利用及垃圾发电项目（储备）</w:t>
            </w:r>
          </w:p>
        </w:tc>
        <w:tc>
          <w:tcPr>
            <w:tcW w:w="100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新荣区</w:t>
            </w:r>
          </w:p>
        </w:tc>
        <w:tc>
          <w:tcPr>
            <w:tcW w:w="1159"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300</w:t>
            </w:r>
          </w:p>
        </w:tc>
        <w:tc>
          <w:tcPr>
            <w:tcW w:w="1118"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w:t>
            </w:r>
          </w:p>
        </w:tc>
        <w:tc>
          <w:tcPr>
            <w:tcW w:w="764"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储备</w:t>
            </w:r>
          </w:p>
        </w:tc>
        <w:tc>
          <w:tcPr>
            <w:tcW w:w="1662"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r>
    </w:tbl>
    <w:p>
      <w:pPr>
        <w:widowControl w:val="0"/>
        <w:wordWrap/>
        <w:adjustRightInd/>
        <w:snapToGrid/>
        <w:spacing w:line="240" w:lineRule="auto"/>
        <w:ind w:firstLine="0" w:firstLineChars="0"/>
        <w:jc w:val="left"/>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注：1.大同富乔垃圾焚烧三期扩容项目建成投产后，原装置协同处置干化污泥、农林废弃物，处理能力1000吨/日，其中生活垃圾600吨/日。</w:t>
      </w:r>
    </w:p>
    <w:p>
      <w:pPr>
        <w:pStyle w:val="4"/>
        <w:rPr>
          <w:rFonts w:hint="default" w:ascii="Times New Roman" w:hAnsi="Times New Roman" w:cs="Times New Roman"/>
          <w:lang w:val="en-US" w:eastAsia="zh-CN"/>
        </w:rPr>
      </w:pPr>
      <w:bookmarkStart w:id="38" w:name="_Toc3963"/>
      <w:r>
        <w:rPr>
          <w:rFonts w:hint="default" w:ascii="Times New Roman" w:hAnsi="Times New Roman" w:cs="Times New Roman"/>
          <w:lang w:val="en-US" w:eastAsia="zh-CN"/>
        </w:rPr>
        <w:t>（三）阳泉市（3区2县）</w:t>
      </w:r>
      <w:bookmarkEnd w:id="38"/>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2023—2025年，规划垃圾焚烧发电项目1个，为阳泉垃圾焚烧发电工程项目（二期），装机规模15兆瓦。焚烧设施覆盖范围由城区、矿区、郊区逐步扩大到平定县、盂县。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1100吨/日，装机规模30兆瓦。</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表3： 阳泉市生活垃圾焚烧项目表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734"/>
        <w:gridCol w:w="1091"/>
        <w:gridCol w:w="1145"/>
        <w:gridCol w:w="1118"/>
        <w:gridCol w:w="737"/>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62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173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1091"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w:t>
            </w:r>
          </w:p>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地点</w:t>
            </w:r>
          </w:p>
        </w:tc>
        <w:tc>
          <w:tcPr>
            <w:tcW w:w="11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118"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73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2070"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361"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109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1100</w:t>
            </w:r>
          </w:p>
        </w:tc>
        <w:tc>
          <w:tcPr>
            <w:tcW w:w="1118"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30</w:t>
            </w:r>
          </w:p>
        </w:tc>
        <w:tc>
          <w:tcPr>
            <w:tcW w:w="73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0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62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173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阳泉垃圾焚烧发电工程项目（一期）</w:t>
            </w:r>
          </w:p>
        </w:tc>
        <w:tc>
          <w:tcPr>
            <w:tcW w:w="109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阳泉市</w:t>
            </w:r>
          </w:p>
        </w:tc>
        <w:tc>
          <w:tcPr>
            <w:tcW w:w="11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1100</w:t>
            </w:r>
          </w:p>
        </w:tc>
        <w:tc>
          <w:tcPr>
            <w:tcW w:w="1118"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15</w:t>
            </w:r>
          </w:p>
        </w:tc>
        <w:tc>
          <w:tcPr>
            <w:tcW w:w="73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2070"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城区、矿区、郊区、盂县、平定县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62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173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阳泉垃圾焚烧发电工程项目（二期）</w:t>
            </w:r>
          </w:p>
        </w:tc>
        <w:tc>
          <w:tcPr>
            <w:tcW w:w="109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阳泉市</w:t>
            </w:r>
          </w:p>
        </w:tc>
        <w:tc>
          <w:tcPr>
            <w:tcW w:w="11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w:t>
            </w:r>
          </w:p>
        </w:tc>
        <w:tc>
          <w:tcPr>
            <w:tcW w:w="1118"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15</w:t>
            </w:r>
          </w:p>
        </w:tc>
        <w:tc>
          <w:tcPr>
            <w:tcW w:w="73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2023-</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2025</w:t>
            </w:r>
          </w:p>
        </w:tc>
        <w:tc>
          <w:tcPr>
            <w:tcW w:w="207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p>
        </w:tc>
      </w:tr>
    </w:tbl>
    <w:p>
      <w:pPr>
        <w:pStyle w:val="4"/>
        <w:rPr>
          <w:rFonts w:hint="default" w:ascii="Times New Roman" w:hAnsi="Times New Roman" w:cs="Times New Roman"/>
          <w:lang w:val="en-US" w:eastAsia="zh-CN"/>
        </w:rPr>
      </w:pPr>
      <w:bookmarkStart w:id="39" w:name="_Toc11330"/>
      <w:r>
        <w:rPr>
          <w:rFonts w:hint="default" w:ascii="Times New Roman" w:hAnsi="Times New Roman" w:cs="Times New Roman"/>
          <w:lang w:val="en-US" w:eastAsia="zh-CN"/>
        </w:rPr>
        <w:t>（四）长治市（4区8县）</w:t>
      </w:r>
      <w:bookmarkEnd w:id="39"/>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2025年，规划垃圾焚烧发电项目1个，为长治市西南部垃圾焚烧发电项目（长子县），处理能力500吨/日，装机规模12兆瓦。焚烧设施覆盖范围由潞州区、上党区、屯留区、潞城区、长子县、壶关县、平顺县、襄垣县逐步扩大到黎城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2026—2030年，规划垃圾焚烧发电项目2个，分别为长治市主城区生活垃圾无害化处理项目（二期），处理能力500吨/日，装机规模12兆瓦；长治北部垃圾焚烧发电项目（沁县），处理能力500吨/日，装机规模12兆瓦。焚烧设施覆盖范围进一步扩大到沁县、武乡县、沁源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2500吨/日，装机规模54兆瓦。</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储备长治市东部垃圾焚烧发电项目，处理能力500吨/日，装机规模12兆瓦，根据规划期内生活垃圾清运量实际情况适时启动。</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表4： 长治市生活垃圾焚烧项目表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700"/>
        <w:gridCol w:w="1009"/>
        <w:gridCol w:w="1180"/>
        <w:gridCol w:w="1111"/>
        <w:gridCol w:w="825"/>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170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1009"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w:t>
            </w:r>
          </w:p>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地点</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11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8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21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250"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10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2500</w:t>
            </w:r>
          </w:p>
        </w:tc>
        <w:tc>
          <w:tcPr>
            <w:tcW w:w="111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54</w:t>
            </w:r>
          </w:p>
        </w:tc>
        <w:tc>
          <w:tcPr>
            <w:tcW w:w="8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1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170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长治市主城区生活垃圾无害化处理项目（一期）</w:t>
            </w:r>
          </w:p>
        </w:tc>
        <w:tc>
          <w:tcPr>
            <w:tcW w:w="10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潞州区</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1000</w:t>
            </w:r>
          </w:p>
        </w:tc>
        <w:tc>
          <w:tcPr>
            <w:tcW w:w="111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18</w:t>
            </w:r>
          </w:p>
        </w:tc>
        <w:tc>
          <w:tcPr>
            <w:tcW w:w="8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21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潞州区、上党区、屯留区、潞城区、平顺县、壶关县、黎城县、襄垣县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170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长治市西南部垃圾焚烧发电项目（长子县）</w:t>
            </w:r>
          </w:p>
        </w:tc>
        <w:tc>
          <w:tcPr>
            <w:tcW w:w="10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长子县</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1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825"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2023-</w:t>
            </w:r>
          </w:p>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2025</w:t>
            </w:r>
          </w:p>
        </w:tc>
        <w:tc>
          <w:tcPr>
            <w:tcW w:w="21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长子县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w:t>
            </w:r>
          </w:p>
        </w:tc>
        <w:tc>
          <w:tcPr>
            <w:tcW w:w="170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长治市主城区生活垃圾无害化处理项目（二期）</w:t>
            </w:r>
          </w:p>
        </w:tc>
        <w:tc>
          <w:tcPr>
            <w:tcW w:w="10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潞州区</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1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825"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2026-</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2030</w:t>
            </w:r>
          </w:p>
        </w:tc>
        <w:tc>
          <w:tcPr>
            <w:tcW w:w="21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同项目1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w:t>
            </w:r>
          </w:p>
        </w:tc>
        <w:tc>
          <w:tcPr>
            <w:tcW w:w="170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长治北部垃圾焚烧发电项目（沁县）</w:t>
            </w:r>
          </w:p>
        </w:tc>
        <w:tc>
          <w:tcPr>
            <w:tcW w:w="10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沁县</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1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825"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1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沁县、武乡县、</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沁源县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w:t>
            </w:r>
          </w:p>
        </w:tc>
        <w:tc>
          <w:tcPr>
            <w:tcW w:w="170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长治市东部垃圾焚烧发电项目（储备）</w:t>
            </w:r>
          </w:p>
        </w:tc>
        <w:tc>
          <w:tcPr>
            <w:tcW w:w="10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500</w:t>
            </w:r>
          </w:p>
        </w:tc>
        <w:tc>
          <w:tcPr>
            <w:tcW w:w="111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12</w:t>
            </w:r>
          </w:p>
        </w:tc>
        <w:tc>
          <w:tcPr>
            <w:tcW w:w="8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1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bl>
    <w:p>
      <w:pPr>
        <w:pStyle w:val="4"/>
        <w:rPr>
          <w:rFonts w:hint="default" w:ascii="Times New Roman" w:hAnsi="Times New Roman" w:cs="Times New Roman"/>
          <w:lang w:val="en-US" w:eastAsia="zh-CN"/>
        </w:rPr>
      </w:pPr>
      <w:bookmarkStart w:id="40" w:name="_Toc12278"/>
      <w:r>
        <w:rPr>
          <w:rFonts w:hint="default" w:ascii="Times New Roman" w:hAnsi="Times New Roman" w:cs="Times New Roman"/>
          <w:lang w:val="en-US" w:eastAsia="zh-CN"/>
        </w:rPr>
        <w:t>（五）晋城市（1区1市4县）</w:t>
      </w:r>
      <w:bookmarkEnd w:id="40"/>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2025年，规划垃圾焚烧不发电项目2个，分别为陵川自供能热裂解项目，处理能力200吨/日；沁水县生活垃圾资源化处理项目处置，处理能力300吨/日。焚烧设施覆盖范围由城区、高平市、泽州县逐步扩大到陵川县、沁水县。</w:t>
      </w:r>
    </w:p>
    <w:p>
      <w:pPr>
        <w:widowControl/>
        <w:jc w:val="lef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2026—2030年，规划垃圾焚烧发电项目2个，分别为晋城市生活垃圾焚烧发电扩建项目，处理能力500吨/日，装机规模12兆瓦；阳城县城乡垃圾综合处理项目，处理能力900吨/日（处理涵盖生活垃圾、餐厨、粪便、污泥、建筑垃圾等，其中生活垃圾400吨/日），装机规模4兆瓦。焚烧设施覆盖范围进一步扩大到阳城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2200吨/日，装机规模31兆瓦。</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表5： 晋城市生活垃圾焚烧项目表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850"/>
        <w:gridCol w:w="891"/>
        <w:gridCol w:w="1140"/>
        <w:gridCol w:w="1167"/>
        <w:gridCol w:w="760"/>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4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18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891"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w:t>
            </w:r>
          </w:p>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地点</w:t>
            </w:r>
          </w:p>
        </w:tc>
        <w:tc>
          <w:tcPr>
            <w:tcW w:w="114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1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76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21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91"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89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4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2200</w:t>
            </w:r>
          </w:p>
        </w:tc>
        <w:tc>
          <w:tcPr>
            <w:tcW w:w="11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31</w:t>
            </w:r>
          </w:p>
        </w:tc>
        <w:tc>
          <w:tcPr>
            <w:tcW w:w="76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1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4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18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晋城市生活垃圾焚烧发电项目</w:t>
            </w:r>
          </w:p>
        </w:tc>
        <w:tc>
          <w:tcPr>
            <w:tcW w:w="89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泽州县</w:t>
            </w:r>
          </w:p>
        </w:tc>
        <w:tc>
          <w:tcPr>
            <w:tcW w:w="114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800</w:t>
            </w:r>
          </w:p>
        </w:tc>
        <w:tc>
          <w:tcPr>
            <w:tcW w:w="11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15</w:t>
            </w:r>
          </w:p>
        </w:tc>
        <w:tc>
          <w:tcPr>
            <w:tcW w:w="76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21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城区、泽州县、</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高平市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4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18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陵川自供能热裂解项目</w:t>
            </w:r>
          </w:p>
        </w:tc>
        <w:tc>
          <w:tcPr>
            <w:tcW w:w="89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陵川县</w:t>
            </w:r>
          </w:p>
        </w:tc>
        <w:tc>
          <w:tcPr>
            <w:tcW w:w="114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200</w:t>
            </w:r>
          </w:p>
        </w:tc>
        <w:tc>
          <w:tcPr>
            <w:tcW w:w="11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w:t>
            </w:r>
          </w:p>
        </w:tc>
        <w:tc>
          <w:tcPr>
            <w:tcW w:w="760"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2023-2025</w:t>
            </w:r>
          </w:p>
        </w:tc>
        <w:tc>
          <w:tcPr>
            <w:tcW w:w="21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陵川县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4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w:t>
            </w:r>
          </w:p>
        </w:tc>
        <w:tc>
          <w:tcPr>
            <w:tcW w:w="18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沁水县生活垃圾资源化处理项目</w:t>
            </w:r>
          </w:p>
        </w:tc>
        <w:tc>
          <w:tcPr>
            <w:tcW w:w="89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沁水县</w:t>
            </w:r>
          </w:p>
        </w:tc>
        <w:tc>
          <w:tcPr>
            <w:tcW w:w="114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300</w:t>
            </w:r>
          </w:p>
        </w:tc>
        <w:tc>
          <w:tcPr>
            <w:tcW w:w="11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w:t>
            </w:r>
          </w:p>
        </w:tc>
        <w:tc>
          <w:tcPr>
            <w:tcW w:w="76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1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沁水县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4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w:t>
            </w:r>
          </w:p>
        </w:tc>
        <w:tc>
          <w:tcPr>
            <w:tcW w:w="18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晋城市生活垃圾焚烧发电扩建项目</w:t>
            </w:r>
          </w:p>
        </w:tc>
        <w:tc>
          <w:tcPr>
            <w:tcW w:w="89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泽州县</w:t>
            </w:r>
          </w:p>
        </w:tc>
        <w:tc>
          <w:tcPr>
            <w:tcW w:w="114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60"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2026-2030</w:t>
            </w:r>
          </w:p>
        </w:tc>
        <w:tc>
          <w:tcPr>
            <w:tcW w:w="21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同项目1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4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w:t>
            </w:r>
          </w:p>
        </w:tc>
        <w:tc>
          <w:tcPr>
            <w:tcW w:w="185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阳城县城乡垃圾综合处理项目</w:t>
            </w:r>
          </w:p>
        </w:tc>
        <w:tc>
          <w:tcPr>
            <w:tcW w:w="89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阳城县</w:t>
            </w:r>
          </w:p>
        </w:tc>
        <w:tc>
          <w:tcPr>
            <w:tcW w:w="114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900（其中生活垃圾400）</w:t>
            </w:r>
          </w:p>
        </w:tc>
        <w:tc>
          <w:tcPr>
            <w:tcW w:w="11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w:t>
            </w:r>
          </w:p>
        </w:tc>
        <w:tc>
          <w:tcPr>
            <w:tcW w:w="76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1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阳城县</w:t>
            </w:r>
          </w:p>
        </w:tc>
      </w:tr>
    </w:tbl>
    <w:p>
      <w:pPr>
        <w:pStyle w:val="4"/>
        <w:rPr>
          <w:rFonts w:hint="default" w:ascii="Times New Roman" w:hAnsi="Times New Roman" w:cs="Times New Roman"/>
          <w:lang w:val="en-US" w:eastAsia="zh-CN"/>
        </w:rPr>
      </w:pPr>
      <w:bookmarkStart w:id="41" w:name="_Toc10673"/>
      <w:r>
        <w:rPr>
          <w:rFonts w:hint="default" w:ascii="Times New Roman" w:hAnsi="Times New Roman" w:cs="Times New Roman"/>
          <w:lang w:val="en-US" w:eastAsia="zh-CN"/>
        </w:rPr>
        <w:t>（六）朔州市（2区1市3县）</w:t>
      </w:r>
      <w:bookmarkEnd w:id="41"/>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2030年，在保障运行经济性的前提下，进一步健全与焚烧处理能力相匹配的收运系统，扩大设施覆盖范围，覆盖范围由朔城区、平鲁区、山阴县、应县、怀仁市逐步扩大到右玉县，确保现有设施能力得到充分利用。</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1800吨/日，装机规模36兆瓦。</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表6： 朔州市生活垃圾焚烧项目表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995"/>
        <w:gridCol w:w="959"/>
        <w:gridCol w:w="1137"/>
        <w:gridCol w:w="1133"/>
        <w:gridCol w:w="707"/>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8"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199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959"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w:t>
            </w:r>
          </w:p>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地点</w:t>
            </w:r>
          </w:p>
        </w:tc>
        <w:tc>
          <w:tcPr>
            <w:tcW w:w="113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13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7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53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9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3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1800</w:t>
            </w:r>
          </w:p>
        </w:tc>
        <w:tc>
          <w:tcPr>
            <w:tcW w:w="113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36</w:t>
            </w:r>
          </w:p>
        </w:tc>
        <w:tc>
          <w:tcPr>
            <w:tcW w:w="707"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8"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199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朔州南山环境能源项目（生活垃圾焚烧发电项目和餐厨垃圾处理项目）</w:t>
            </w:r>
          </w:p>
        </w:tc>
        <w:tc>
          <w:tcPr>
            <w:tcW w:w="9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朔城区</w:t>
            </w:r>
          </w:p>
        </w:tc>
        <w:tc>
          <w:tcPr>
            <w:tcW w:w="113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800</w:t>
            </w:r>
          </w:p>
        </w:tc>
        <w:tc>
          <w:tcPr>
            <w:tcW w:w="113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18</w:t>
            </w:r>
          </w:p>
        </w:tc>
        <w:tc>
          <w:tcPr>
            <w:tcW w:w="707" w:type="dxa"/>
            <w:vMerge w:val="restart"/>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朔城区、平鲁区、右玉县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8"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199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怀仁垃圾焚烧发电项目</w:t>
            </w:r>
          </w:p>
        </w:tc>
        <w:tc>
          <w:tcPr>
            <w:tcW w:w="9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怀仁市</w:t>
            </w:r>
          </w:p>
        </w:tc>
        <w:tc>
          <w:tcPr>
            <w:tcW w:w="113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1000</w:t>
            </w:r>
          </w:p>
        </w:tc>
        <w:tc>
          <w:tcPr>
            <w:tcW w:w="113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18</w:t>
            </w:r>
          </w:p>
        </w:tc>
        <w:tc>
          <w:tcPr>
            <w:tcW w:w="707" w:type="dxa"/>
            <w:vMerge w:val="continue"/>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c>
          <w:tcPr>
            <w:tcW w:w="2053" w:type="dxa"/>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怀仁市、应县、</w:t>
            </w:r>
          </w:p>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山阴县</w:t>
            </w:r>
          </w:p>
        </w:tc>
      </w:tr>
    </w:tbl>
    <w:p>
      <w:pPr>
        <w:pStyle w:val="4"/>
        <w:rPr>
          <w:rFonts w:hint="default" w:ascii="Times New Roman" w:hAnsi="Times New Roman" w:cs="Times New Roman"/>
          <w:lang w:val="en-US" w:eastAsia="zh-CN"/>
        </w:rPr>
      </w:pPr>
      <w:bookmarkStart w:id="42" w:name="_Toc13608"/>
      <w:r>
        <w:rPr>
          <w:rFonts w:hint="default" w:ascii="Times New Roman" w:hAnsi="Times New Roman" w:cs="Times New Roman"/>
          <w:lang w:val="en-US" w:eastAsia="zh-CN"/>
        </w:rPr>
        <w:t>（七）晋中市（2区1市8县）</w:t>
      </w:r>
      <w:bookmarkEnd w:id="42"/>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2023—2025年，规划垃圾焚烧发电项目1个，为平遥县生活垃圾焚烧发电项目，处理能力600吨/日，装机规模12兆瓦。焚烧设施覆盖范围由榆次区、介休市、灵石县、祁县逐步扩大到寿阳县、太谷区、平遥县。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2026—2030年，规划垃圾焚烧发电项目2个，分别为晋中市城区生活垃圾焚烧发电扩建项目，处理能力600吨/日，装机规模12兆瓦；和顺县垃圾发电项目，处理能力800吨/日，装机规模15兆瓦。焚烧设施覆盖范围进一步扩大到榆社县、左权县、和顺县、昔阳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4200吨/日，装机规模81兆瓦。</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储备晋中市生活垃圾发电项目，处理能力500吨/日，装机规模12兆瓦，根据规划期内生活垃圾清运量实际情况适时启动。</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表7： 晋中市生活垃圾焚烧项目表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949"/>
        <w:gridCol w:w="967"/>
        <w:gridCol w:w="1180"/>
        <w:gridCol w:w="1187"/>
        <w:gridCol w:w="746"/>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194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967"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w:t>
            </w:r>
          </w:p>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地点</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7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19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35"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9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4200</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81</w:t>
            </w:r>
          </w:p>
        </w:tc>
        <w:tc>
          <w:tcPr>
            <w:tcW w:w="7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194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晋中市城区生活垃圾焚烧发电PPP项目</w:t>
            </w:r>
          </w:p>
        </w:tc>
        <w:tc>
          <w:tcPr>
            <w:tcW w:w="9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榆次区</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1200</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21</w:t>
            </w:r>
          </w:p>
        </w:tc>
        <w:tc>
          <w:tcPr>
            <w:tcW w:w="746"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19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榆次区、太谷区、寿阳县、祁县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194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介休市城市生活垃圾2×6MW焚烧发电项目</w:t>
            </w:r>
          </w:p>
        </w:tc>
        <w:tc>
          <w:tcPr>
            <w:tcW w:w="9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介休市</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46"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介休市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w:t>
            </w:r>
          </w:p>
        </w:tc>
        <w:tc>
          <w:tcPr>
            <w:tcW w:w="194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灵石县生活垃圾焚烧发电项目</w:t>
            </w:r>
          </w:p>
        </w:tc>
        <w:tc>
          <w:tcPr>
            <w:tcW w:w="9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灵石县</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9</w:t>
            </w:r>
          </w:p>
        </w:tc>
        <w:tc>
          <w:tcPr>
            <w:tcW w:w="746"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灵石县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w:t>
            </w:r>
          </w:p>
        </w:tc>
        <w:tc>
          <w:tcPr>
            <w:tcW w:w="194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平遥县生活垃圾焚烧发电项目</w:t>
            </w:r>
          </w:p>
        </w:tc>
        <w:tc>
          <w:tcPr>
            <w:tcW w:w="9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平遥县</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600</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2023-2025</w:t>
            </w:r>
          </w:p>
        </w:tc>
        <w:tc>
          <w:tcPr>
            <w:tcW w:w="19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平遥县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w:t>
            </w:r>
          </w:p>
        </w:tc>
        <w:tc>
          <w:tcPr>
            <w:tcW w:w="194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晋中市城区生活垃圾焚烧发电扩建项目</w:t>
            </w:r>
          </w:p>
        </w:tc>
        <w:tc>
          <w:tcPr>
            <w:tcW w:w="9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榆次区</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600</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46"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2026-2030</w:t>
            </w:r>
          </w:p>
        </w:tc>
        <w:tc>
          <w:tcPr>
            <w:tcW w:w="19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同项目1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w:t>
            </w:r>
          </w:p>
        </w:tc>
        <w:tc>
          <w:tcPr>
            <w:tcW w:w="194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和顺县垃圾发电项目</w:t>
            </w:r>
          </w:p>
        </w:tc>
        <w:tc>
          <w:tcPr>
            <w:tcW w:w="9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和顺县</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800</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15</w:t>
            </w:r>
          </w:p>
        </w:tc>
        <w:tc>
          <w:tcPr>
            <w:tcW w:w="746"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和顺县、昔阳县、左权县、榆社县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8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7</w:t>
            </w:r>
          </w:p>
        </w:tc>
        <w:tc>
          <w:tcPr>
            <w:tcW w:w="194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晋中市生活垃圾发电项目（储备）</w:t>
            </w:r>
          </w:p>
        </w:tc>
        <w:tc>
          <w:tcPr>
            <w:tcW w:w="96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太谷区或祁县</w:t>
            </w:r>
          </w:p>
        </w:tc>
        <w:tc>
          <w:tcPr>
            <w:tcW w:w="118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8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0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bl>
    <w:p>
      <w:pPr>
        <w:pStyle w:val="4"/>
        <w:rPr>
          <w:rFonts w:hint="default" w:ascii="Times New Roman" w:hAnsi="Times New Roman" w:cs="Times New Roman"/>
          <w:lang w:val="en-US" w:eastAsia="zh-CN"/>
        </w:rPr>
      </w:pPr>
      <w:bookmarkStart w:id="43" w:name="_Toc21308"/>
      <w:r>
        <w:rPr>
          <w:rFonts w:hint="default" w:ascii="Times New Roman" w:hAnsi="Times New Roman" w:cs="Times New Roman"/>
          <w:lang w:val="en-US" w:eastAsia="zh-CN"/>
        </w:rPr>
        <w:t>（八）运城市（1区2市10县）</w:t>
      </w:r>
      <w:bookmarkEnd w:id="43"/>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2025年，规划垃圾焚烧发电项目1个，焚烧不发电项目1个，分别为闻喜县垃圾焚烧发电工程项目，处理能力500吨/日，装机规模12兆瓦；芮城县300吨/日生活垃圾焚烧及供气项目，处理能力300吨/日。焚烧设施覆盖范围由河津市、永济市、盐湖区、夏县、平陆县逐步扩大到闻喜县、垣曲县、稷山县、芮城县、绛县、新绛县、临猗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2026—2030年，规划垃圾焚烧发电项目1个，为万荣县生活垃圾焚烧发电项目，处理能力600吨/日，装机规模12兆瓦。焚烧设施覆盖范围进一步扩大到万荣县。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3700吨/日，装机规模69兆瓦。</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储备运城市生活垃圾焚烧项目，处理能力500吨/日，装机规模12兆瓦，根据规划期内生活垃圾清运量实际情况适时启动。</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表8： 运城市生活垃圾焚烧项目表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859"/>
        <w:gridCol w:w="975"/>
        <w:gridCol w:w="1170"/>
        <w:gridCol w:w="1125"/>
        <w:gridCol w:w="810"/>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18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975"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w:t>
            </w:r>
          </w:p>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地点</w:t>
            </w:r>
          </w:p>
        </w:tc>
        <w:tc>
          <w:tcPr>
            <w:tcW w:w="11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1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81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389"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97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3700</w:t>
            </w:r>
          </w:p>
        </w:tc>
        <w:tc>
          <w:tcPr>
            <w:tcW w:w="11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69</w:t>
            </w:r>
          </w:p>
        </w:tc>
        <w:tc>
          <w:tcPr>
            <w:tcW w:w="81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18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运城市生活垃圾焚烧发电项目</w:t>
            </w:r>
          </w:p>
        </w:tc>
        <w:tc>
          <w:tcPr>
            <w:tcW w:w="97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夏县</w:t>
            </w:r>
          </w:p>
        </w:tc>
        <w:tc>
          <w:tcPr>
            <w:tcW w:w="11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1200</w:t>
            </w:r>
          </w:p>
        </w:tc>
        <w:tc>
          <w:tcPr>
            <w:tcW w:w="11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24</w:t>
            </w:r>
          </w:p>
        </w:tc>
        <w:tc>
          <w:tcPr>
            <w:tcW w:w="810"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盐湖区、夏县、</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平陆县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18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河津市生活垃圾综合处理项目</w:t>
            </w:r>
          </w:p>
        </w:tc>
        <w:tc>
          <w:tcPr>
            <w:tcW w:w="97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河津市</w:t>
            </w:r>
          </w:p>
        </w:tc>
        <w:tc>
          <w:tcPr>
            <w:tcW w:w="11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9</w:t>
            </w:r>
          </w:p>
        </w:tc>
        <w:tc>
          <w:tcPr>
            <w:tcW w:w="81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河津市、稷山县、新绛县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w:t>
            </w:r>
          </w:p>
        </w:tc>
        <w:tc>
          <w:tcPr>
            <w:tcW w:w="18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永济垃圾焚烧发电项目</w:t>
            </w:r>
          </w:p>
        </w:tc>
        <w:tc>
          <w:tcPr>
            <w:tcW w:w="97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永济市</w:t>
            </w:r>
          </w:p>
        </w:tc>
        <w:tc>
          <w:tcPr>
            <w:tcW w:w="11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600</w:t>
            </w:r>
          </w:p>
        </w:tc>
        <w:tc>
          <w:tcPr>
            <w:tcW w:w="11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81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永济市、临猗县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w:t>
            </w:r>
          </w:p>
        </w:tc>
        <w:tc>
          <w:tcPr>
            <w:tcW w:w="18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闻喜县垃圾焚烧发电工程</w:t>
            </w:r>
          </w:p>
        </w:tc>
        <w:tc>
          <w:tcPr>
            <w:tcW w:w="97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闻喜县</w:t>
            </w:r>
          </w:p>
        </w:tc>
        <w:tc>
          <w:tcPr>
            <w:tcW w:w="11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810"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2023-2025</w:t>
            </w: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闻喜县、绛县、</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垣曲县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w:t>
            </w:r>
          </w:p>
        </w:tc>
        <w:tc>
          <w:tcPr>
            <w:tcW w:w="18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芮城县300吨/日生活垃圾焚烧及供汽项目</w:t>
            </w:r>
          </w:p>
        </w:tc>
        <w:tc>
          <w:tcPr>
            <w:tcW w:w="97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芮城县</w:t>
            </w:r>
          </w:p>
        </w:tc>
        <w:tc>
          <w:tcPr>
            <w:tcW w:w="11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300</w:t>
            </w:r>
          </w:p>
        </w:tc>
        <w:tc>
          <w:tcPr>
            <w:tcW w:w="11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w:t>
            </w:r>
          </w:p>
        </w:tc>
        <w:tc>
          <w:tcPr>
            <w:tcW w:w="81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芮城县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w:t>
            </w:r>
          </w:p>
        </w:tc>
        <w:tc>
          <w:tcPr>
            <w:tcW w:w="18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万荣县生活垃圾焚烧发电项目</w:t>
            </w:r>
          </w:p>
        </w:tc>
        <w:tc>
          <w:tcPr>
            <w:tcW w:w="97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万荣县</w:t>
            </w:r>
          </w:p>
        </w:tc>
        <w:tc>
          <w:tcPr>
            <w:tcW w:w="11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600</w:t>
            </w:r>
          </w:p>
        </w:tc>
        <w:tc>
          <w:tcPr>
            <w:tcW w:w="11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81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2026-2030</w:t>
            </w: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万荣县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3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7</w:t>
            </w:r>
          </w:p>
        </w:tc>
        <w:tc>
          <w:tcPr>
            <w:tcW w:w="185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运城生活垃圾焚烧发电项目</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（储备）</w:t>
            </w:r>
          </w:p>
        </w:tc>
        <w:tc>
          <w:tcPr>
            <w:tcW w:w="97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7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2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81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20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bl>
    <w:p>
      <w:pPr>
        <w:pStyle w:val="4"/>
        <w:rPr>
          <w:rFonts w:hint="default" w:ascii="Times New Roman" w:hAnsi="Times New Roman" w:cs="Times New Roman"/>
          <w:lang w:val="en-US" w:eastAsia="zh-CN"/>
        </w:rPr>
      </w:pPr>
      <w:bookmarkStart w:id="44" w:name="_Toc30792"/>
      <w:r>
        <w:rPr>
          <w:rFonts w:hint="default" w:ascii="Times New Roman" w:hAnsi="Times New Roman" w:cs="Times New Roman"/>
          <w:lang w:val="en-US" w:eastAsia="zh-CN"/>
        </w:rPr>
        <w:t>（九）忻州市（2区1市12县）</w:t>
      </w:r>
      <w:bookmarkEnd w:id="44"/>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2025年，规划垃圾焚烧发电项目4个，分别为忻州市生活垃圾焚烧热电联产二期（一期）项目，处理能力800吨/日，装机规模18兆瓦；忻州市生活垃圾焚烧热电联产二期（二期）项目，处理能力800吨/日，装机规模18兆瓦；五寨县垃圾焚烧发电项目，处理能力300吨/日，装机规模6兆瓦；保德县垃圾焚烧发电项目，处理能力500吨/日，装机规模12兆瓦。焚烧设施覆盖范围由忻府区、定襄县逐步扩大到原平市、五台县、代县、繁峙县、宁武县、静乐县、五台山风景名胜区、五寨县、神池县、岢岚县、河曲县、保德县、偏关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3100吨/日，装机规模78兆瓦。</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表9： 忻州市生活垃圾焚烧项目表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974"/>
        <w:gridCol w:w="972"/>
        <w:gridCol w:w="1109"/>
        <w:gridCol w:w="1213"/>
        <w:gridCol w:w="827"/>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19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972"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w:t>
            </w:r>
          </w:p>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地点</w:t>
            </w:r>
          </w:p>
        </w:tc>
        <w:tc>
          <w:tcPr>
            <w:tcW w:w="11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21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82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18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548"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97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3100</w:t>
            </w:r>
          </w:p>
        </w:tc>
        <w:tc>
          <w:tcPr>
            <w:tcW w:w="121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78</w:t>
            </w:r>
          </w:p>
        </w:tc>
        <w:tc>
          <w:tcPr>
            <w:tcW w:w="82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8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19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忻州市生活垃圾焚烧发电2×12MW项目</w:t>
            </w:r>
          </w:p>
        </w:tc>
        <w:tc>
          <w:tcPr>
            <w:tcW w:w="97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忻府区</w:t>
            </w:r>
          </w:p>
        </w:tc>
        <w:tc>
          <w:tcPr>
            <w:tcW w:w="11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700</w:t>
            </w:r>
          </w:p>
        </w:tc>
        <w:tc>
          <w:tcPr>
            <w:tcW w:w="121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24</w:t>
            </w:r>
          </w:p>
        </w:tc>
        <w:tc>
          <w:tcPr>
            <w:tcW w:w="82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1853"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忻府区、定襄县、宁武县、静乐县、代县、繁峙县、五台县、五台山风景区、原平市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19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忻州市生活垃圾焚烧热电联产二期（一期）项目</w:t>
            </w:r>
          </w:p>
        </w:tc>
        <w:tc>
          <w:tcPr>
            <w:tcW w:w="97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经济开发区</w:t>
            </w:r>
          </w:p>
        </w:tc>
        <w:tc>
          <w:tcPr>
            <w:tcW w:w="11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800</w:t>
            </w:r>
          </w:p>
        </w:tc>
        <w:tc>
          <w:tcPr>
            <w:tcW w:w="121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18</w:t>
            </w:r>
          </w:p>
        </w:tc>
        <w:tc>
          <w:tcPr>
            <w:tcW w:w="827" w:type="dxa"/>
            <w:vMerge w:val="restart"/>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2023-2025</w:t>
            </w:r>
          </w:p>
        </w:tc>
        <w:tc>
          <w:tcPr>
            <w:tcW w:w="1853" w:type="dxa"/>
            <w:vMerge w:val="continue"/>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w:t>
            </w:r>
          </w:p>
        </w:tc>
        <w:tc>
          <w:tcPr>
            <w:tcW w:w="19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忻州市生活垃圾焚烧热电联产二期（二期）项目</w:t>
            </w:r>
          </w:p>
        </w:tc>
        <w:tc>
          <w:tcPr>
            <w:tcW w:w="97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经济开发区</w:t>
            </w:r>
          </w:p>
        </w:tc>
        <w:tc>
          <w:tcPr>
            <w:tcW w:w="11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800</w:t>
            </w:r>
          </w:p>
        </w:tc>
        <w:tc>
          <w:tcPr>
            <w:tcW w:w="121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18</w:t>
            </w:r>
          </w:p>
        </w:tc>
        <w:tc>
          <w:tcPr>
            <w:tcW w:w="827"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853"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w:t>
            </w:r>
          </w:p>
        </w:tc>
        <w:tc>
          <w:tcPr>
            <w:tcW w:w="19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五寨县垃圾焚烧发电项目</w:t>
            </w:r>
          </w:p>
        </w:tc>
        <w:tc>
          <w:tcPr>
            <w:tcW w:w="97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五寨县</w:t>
            </w:r>
          </w:p>
        </w:tc>
        <w:tc>
          <w:tcPr>
            <w:tcW w:w="11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300</w:t>
            </w:r>
          </w:p>
        </w:tc>
        <w:tc>
          <w:tcPr>
            <w:tcW w:w="121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w:t>
            </w:r>
          </w:p>
        </w:tc>
        <w:tc>
          <w:tcPr>
            <w:tcW w:w="827"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8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五寨县、神池县、岢岚县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w:t>
            </w:r>
          </w:p>
        </w:tc>
        <w:tc>
          <w:tcPr>
            <w:tcW w:w="19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保德县垃圾焚烧发电项目</w:t>
            </w:r>
          </w:p>
        </w:tc>
        <w:tc>
          <w:tcPr>
            <w:tcW w:w="972"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保德县</w:t>
            </w:r>
          </w:p>
        </w:tc>
        <w:tc>
          <w:tcPr>
            <w:tcW w:w="110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21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827"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85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河曲县、保德县、偏关县</w:t>
            </w:r>
          </w:p>
        </w:tc>
      </w:tr>
    </w:tbl>
    <w:p>
      <w:pPr>
        <w:pStyle w:val="4"/>
        <w:rPr>
          <w:rFonts w:hint="default" w:ascii="Times New Roman" w:hAnsi="Times New Roman" w:cs="Times New Roman"/>
          <w:lang w:val="en-US" w:eastAsia="zh-CN"/>
        </w:rPr>
      </w:pPr>
      <w:bookmarkStart w:id="45" w:name="_Toc2366"/>
      <w:r>
        <w:rPr>
          <w:rFonts w:hint="default" w:ascii="Times New Roman" w:hAnsi="Times New Roman" w:cs="Times New Roman"/>
          <w:lang w:val="en-US" w:eastAsia="zh-CN"/>
        </w:rPr>
        <w:t>（十）临汾市（1区2市14县）</w:t>
      </w:r>
      <w:bookmarkEnd w:id="45"/>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2025年，规划垃圾焚烧发电项目4个，关停1个。分别为临汾市环境产业园区生活垃圾焚烧发电及餐厨垃圾处理项目（二期），处理能力400吨/日，装机规模15兆瓦；洪洞县生活垃圾焚烧发电项目，处理能力600吨/日，装机规模12兆瓦；侯马市垃圾焚烧发电项目，处理能力800吨/日，装机规模18兆瓦；霍州市生活垃圾焚烧发电项目，处理能力500吨/日，装机规模12兆瓦。洪洞县生活垃圾焚烧发电项目建成投产后，临汾市民生生活垃圾处理项目关停。焚烧设施覆盖范围由尧都区、襄汾县、浮山县、洪洞县逐步扩大到侯马市、曲沃县、翼城县、古县、霍州市、安泽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2026—2030年，规划垃圾焚烧发电项目1个，为临汾市沿黄区域生活垃圾焚烧发电项目，处理能力600吨/日，装机规模12兆瓦。焚烧设施覆盖范围进一步扩大到大宁县、隰县、永和县、蒲县、吉县、乡宁县、汾西县。</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3700吨/日，装机规模84兆瓦。</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表10： 临汾市生活垃圾焚烧项目表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989"/>
        <w:gridCol w:w="921"/>
        <w:gridCol w:w="1146"/>
        <w:gridCol w:w="1146"/>
        <w:gridCol w:w="774"/>
        <w:gridCol w:w="1971"/>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198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921"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w:t>
            </w:r>
          </w:p>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地点</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7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197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62"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92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3700</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84</w:t>
            </w:r>
          </w:p>
        </w:tc>
        <w:tc>
          <w:tcPr>
            <w:tcW w:w="7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7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198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临汾市环境产业园区生活垃圾焚烧发电及餐厨垃圾处理项目（一期）</w:t>
            </w:r>
          </w:p>
        </w:tc>
        <w:tc>
          <w:tcPr>
            <w:tcW w:w="92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尧都区</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800</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15</w:t>
            </w:r>
          </w:p>
        </w:tc>
        <w:tc>
          <w:tcPr>
            <w:tcW w:w="774"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197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尧都区、襄汾县、浮山县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198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临汾市民生生活垃圾处理项目</w:t>
            </w:r>
          </w:p>
        </w:tc>
        <w:tc>
          <w:tcPr>
            <w:tcW w:w="92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洪洞县</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360</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w:t>
            </w:r>
          </w:p>
        </w:tc>
        <w:tc>
          <w:tcPr>
            <w:tcW w:w="774"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7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洪洞县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3</w:t>
            </w:r>
          </w:p>
        </w:tc>
        <w:tc>
          <w:tcPr>
            <w:tcW w:w="198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临汾市环境产业园区生活垃圾焚烧发电及餐厨垃圾处理项目（二期）</w:t>
            </w:r>
          </w:p>
        </w:tc>
        <w:tc>
          <w:tcPr>
            <w:tcW w:w="92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尧都区</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400</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15</w:t>
            </w:r>
          </w:p>
        </w:tc>
        <w:tc>
          <w:tcPr>
            <w:tcW w:w="774"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2023-2025</w:t>
            </w:r>
          </w:p>
        </w:tc>
        <w:tc>
          <w:tcPr>
            <w:tcW w:w="197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同项目1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4</w:t>
            </w:r>
          </w:p>
        </w:tc>
        <w:tc>
          <w:tcPr>
            <w:tcW w:w="198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洪洞县生活垃圾焚烧发电项目</w:t>
            </w:r>
          </w:p>
        </w:tc>
        <w:tc>
          <w:tcPr>
            <w:tcW w:w="92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洪洞县</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600</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74"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7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洪洞县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5</w:t>
            </w:r>
          </w:p>
        </w:tc>
        <w:tc>
          <w:tcPr>
            <w:tcW w:w="198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侯马市垃圾焚烧发电项目</w:t>
            </w:r>
          </w:p>
        </w:tc>
        <w:tc>
          <w:tcPr>
            <w:tcW w:w="92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侯马市</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800</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18</w:t>
            </w:r>
          </w:p>
        </w:tc>
        <w:tc>
          <w:tcPr>
            <w:tcW w:w="774"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7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曲沃县、侯马市、翼城县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eastAsia="zh-CN"/>
              </w:rPr>
              <w:t>6</w:t>
            </w:r>
          </w:p>
        </w:tc>
        <w:tc>
          <w:tcPr>
            <w:tcW w:w="198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霍州市生活垃圾焚烧发电项目</w:t>
            </w:r>
          </w:p>
        </w:tc>
        <w:tc>
          <w:tcPr>
            <w:tcW w:w="92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霍州市</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74"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7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霍州市、安泽县、古县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cantSplit/>
          <w:trHeight w:val="23" w:hRule="atLeast"/>
          <w:jc w:val="center"/>
        </w:trPr>
        <w:tc>
          <w:tcPr>
            <w:tcW w:w="5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eastAsia="zh-CN"/>
              </w:rPr>
              <w:t>7</w:t>
            </w:r>
          </w:p>
        </w:tc>
        <w:tc>
          <w:tcPr>
            <w:tcW w:w="198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2"/>
                <w:szCs w:val="22"/>
                <w:highlight w:val="none"/>
                <w:lang w:val="en-US" w:eastAsia="zh-CN" w:bidi="ar-SA"/>
              </w:rPr>
            </w:pPr>
            <w:r>
              <w:rPr>
                <w:rFonts w:hint="default" w:ascii="Times New Roman" w:hAnsi="Times New Roman" w:eastAsia="仿宋" w:cs="Times New Roman"/>
                <w:color w:val="auto"/>
                <w:sz w:val="22"/>
                <w:szCs w:val="22"/>
                <w:highlight w:val="none"/>
                <w:lang w:val="en-US" w:eastAsia="zh-CN"/>
              </w:rPr>
              <w:t>临汾市民生生活垃圾处理项目（关停）</w:t>
            </w:r>
          </w:p>
        </w:tc>
        <w:tc>
          <w:tcPr>
            <w:tcW w:w="92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洪洞县</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-360</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w:t>
            </w:r>
          </w:p>
        </w:tc>
        <w:tc>
          <w:tcPr>
            <w:tcW w:w="774"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7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洪洞县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73"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eastAsia="zh-CN"/>
              </w:rPr>
            </w:pPr>
            <w:r>
              <w:rPr>
                <w:rFonts w:hint="default" w:ascii="Times New Roman" w:hAnsi="Times New Roman" w:eastAsia="仿宋" w:cs="Times New Roman"/>
                <w:color w:val="auto"/>
                <w:sz w:val="22"/>
                <w:szCs w:val="22"/>
                <w:highlight w:val="none"/>
                <w:lang w:val="en-US" w:eastAsia="zh-CN"/>
              </w:rPr>
              <w:t>8</w:t>
            </w:r>
          </w:p>
        </w:tc>
        <w:tc>
          <w:tcPr>
            <w:tcW w:w="198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临汾市沿黄区域生活垃圾焚烧发电</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w:t>
            </w:r>
          </w:p>
        </w:tc>
        <w:tc>
          <w:tcPr>
            <w:tcW w:w="921"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蒲县</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600</w:t>
            </w:r>
          </w:p>
        </w:tc>
        <w:tc>
          <w:tcPr>
            <w:tcW w:w="114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774"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2026-2030</w:t>
            </w:r>
          </w:p>
        </w:tc>
        <w:tc>
          <w:tcPr>
            <w:tcW w:w="1973"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大宁县、隰县、永和县、蒲县、吉县、乡宁县、汾西县</w:t>
            </w:r>
          </w:p>
        </w:tc>
      </w:tr>
    </w:tbl>
    <w:p>
      <w:pPr>
        <w:pStyle w:val="4"/>
        <w:rPr>
          <w:rFonts w:hint="default" w:ascii="Times New Roman" w:hAnsi="Times New Roman" w:cs="Times New Roman"/>
          <w:lang w:val="en-US" w:eastAsia="zh-CN"/>
        </w:rPr>
      </w:pPr>
      <w:bookmarkStart w:id="46" w:name="_Toc7227"/>
      <w:r>
        <w:rPr>
          <w:rFonts w:hint="default" w:ascii="Times New Roman" w:hAnsi="Times New Roman" w:cs="Times New Roman"/>
          <w:lang w:val="en-US" w:eastAsia="zh-CN"/>
        </w:rPr>
        <w:t>（十一）吕梁市（1区2市10县）</w:t>
      </w:r>
      <w:bookmarkEnd w:id="46"/>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2025年，规划垃圾焚烧发电项目3个，焚烧不发电项目1个，调整项目1个。焚烧发电项目分别为汾阳市生活垃圾焚烧发电改造项目，新增处理能力250吨/日；临县生活垃圾焚烧发电项目，处理能力500吨/日，装机规模7.5兆瓦；吕梁市中阳县工业园区生活垃圾焚烧协同处置工农业废弃物热电联产项目，处理能力1000吨/日（其中生活垃圾500吨/日，协同处置农林废弃物、污泥等固废），装机规模24兆瓦；焚烧不发电项目为兴县生活垃圾裂解气化焚烧处置项目，处理能力240吨/日；调整项目为将吕梁市生活垃圾焚烧发电和餐厨垃圾处理项目装机规模由20兆瓦调整为25兆瓦。焚烧设施覆盖范围由汾阳市、交城县、文水县、离石区、柳林县、方山县、中阳县、孝义市部分区域逐步扩大到石楼县、交口县、临县、兴县、岚县、孝义市全部区域。汾阳片区垃圾如超出现有处理能力，超出部分垃圾由其他生活垃圾处理负荷率低的设施根据自愿原则协商处理。</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2030年底，</w:t>
      </w:r>
      <w:r>
        <w:rPr>
          <w:rFonts w:hint="default" w:ascii="Times New Roman" w:hAnsi="Times New Roman" w:eastAsia="仿宋" w:cs="Times New Roman"/>
          <w:b w:val="0"/>
          <w:bCs w:val="0"/>
          <w:color w:val="auto"/>
          <w:highlight w:val="none"/>
          <w:u w:val="none"/>
          <w:lang w:val="en-US" w:eastAsia="zh-CN"/>
        </w:rPr>
        <w:t>生活垃圾焚烧处理能力</w:t>
      </w:r>
      <w:r>
        <w:rPr>
          <w:rFonts w:hint="default" w:ascii="Times New Roman" w:hAnsi="Times New Roman" w:eastAsia="仿宋" w:cs="Times New Roman"/>
          <w:color w:val="auto"/>
          <w:highlight w:val="none"/>
          <w:lang w:val="en-US" w:eastAsia="zh-CN"/>
        </w:rPr>
        <w:t>2990吨/日，装机规模68.5兆瓦。</w:t>
      </w:r>
    </w:p>
    <w:p>
      <w:pPr>
        <w:widowControl w:val="0"/>
        <w:wordWrap/>
        <w:adjustRightInd/>
        <w:snapToGrid/>
        <w:ind w:firstLine="0" w:firstLineChars="0"/>
        <w:jc w:val="center"/>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表11： 吕梁市生活垃圾焚烧项目表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936"/>
        <w:gridCol w:w="956"/>
        <w:gridCol w:w="1119"/>
        <w:gridCol w:w="1219"/>
        <w:gridCol w:w="800"/>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序号</w:t>
            </w:r>
          </w:p>
        </w:tc>
        <w:tc>
          <w:tcPr>
            <w:tcW w:w="193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项目名称</w:t>
            </w:r>
          </w:p>
        </w:tc>
        <w:tc>
          <w:tcPr>
            <w:tcW w:w="956" w:type="dxa"/>
            <w:vAlign w:val="center"/>
          </w:tcPr>
          <w:p>
            <w:pPr>
              <w:pStyle w:val="23"/>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建设地点</w:t>
            </w:r>
          </w:p>
        </w:tc>
        <w:tc>
          <w:tcPr>
            <w:tcW w:w="11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处理能力（吨/日）</w:t>
            </w:r>
          </w:p>
        </w:tc>
        <w:tc>
          <w:tcPr>
            <w:tcW w:w="12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装机规模（兆瓦）</w:t>
            </w:r>
          </w:p>
        </w:tc>
        <w:tc>
          <w:tcPr>
            <w:tcW w:w="80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建设时序</w:t>
            </w:r>
          </w:p>
        </w:tc>
        <w:tc>
          <w:tcPr>
            <w:tcW w:w="19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拟覆盖范围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481" w:type="dxa"/>
            <w:gridSpan w:val="2"/>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合计</w:t>
            </w:r>
          </w:p>
        </w:tc>
        <w:tc>
          <w:tcPr>
            <w:tcW w:w="95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1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2990</w:t>
            </w:r>
          </w:p>
        </w:tc>
        <w:tc>
          <w:tcPr>
            <w:tcW w:w="12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68.5</w:t>
            </w:r>
          </w:p>
        </w:tc>
        <w:tc>
          <w:tcPr>
            <w:tcW w:w="800"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w:t>
            </w:r>
          </w:p>
        </w:tc>
        <w:tc>
          <w:tcPr>
            <w:tcW w:w="193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吕梁市生活垃圾焚烧发电和餐厨垃圾处理项目</w:t>
            </w:r>
          </w:p>
        </w:tc>
        <w:tc>
          <w:tcPr>
            <w:tcW w:w="95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柳林县</w:t>
            </w:r>
          </w:p>
        </w:tc>
        <w:tc>
          <w:tcPr>
            <w:tcW w:w="11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1000</w:t>
            </w:r>
          </w:p>
        </w:tc>
        <w:tc>
          <w:tcPr>
            <w:tcW w:w="12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w:t>
            </w:r>
          </w:p>
        </w:tc>
        <w:tc>
          <w:tcPr>
            <w:tcW w:w="800"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已建</w:t>
            </w:r>
          </w:p>
        </w:tc>
        <w:tc>
          <w:tcPr>
            <w:tcW w:w="19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离石区、柳林县、方山县、中阳县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w:t>
            </w:r>
          </w:p>
        </w:tc>
        <w:tc>
          <w:tcPr>
            <w:tcW w:w="193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汾阳市生活垃圾焚烧发电项目</w:t>
            </w:r>
          </w:p>
        </w:tc>
        <w:tc>
          <w:tcPr>
            <w:tcW w:w="95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汾阳市</w:t>
            </w:r>
          </w:p>
        </w:tc>
        <w:tc>
          <w:tcPr>
            <w:tcW w:w="11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2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12</w:t>
            </w:r>
          </w:p>
        </w:tc>
        <w:tc>
          <w:tcPr>
            <w:tcW w:w="80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汾阳市、交城县、文水县、孝义市部分区域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3</w:t>
            </w:r>
          </w:p>
        </w:tc>
        <w:tc>
          <w:tcPr>
            <w:tcW w:w="193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吕梁市生活垃圾焚烧发电和餐厨垃圾处理项目</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（调整）</w:t>
            </w:r>
          </w:p>
        </w:tc>
        <w:tc>
          <w:tcPr>
            <w:tcW w:w="95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柳林县</w:t>
            </w:r>
          </w:p>
        </w:tc>
        <w:tc>
          <w:tcPr>
            <w:tcW w:w="11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w:t>
            </w:r>
          </w:p>
        </w:tc>
        <w:tc>
          <w:tcPr>
            <w:tcW w:w="12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w:t>
            </w:r>
          </w:p>
        </w:tc>
        <w:tc>
          <w:tcPr>
            <w:tcW w:w="800" w:type="dxa"/>
            <w:vMerge w:val="restart"/>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2023-2025</w:t>
            </w:r>
          </w:p>
        </w:tc>
        <w:tc>
          <w:tcPr>
            <w:tcW w:w="19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同项目1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4</w:t>
            </w:r>
          </w:p>
        </w:tc>
        <w:tc>
          <w:tcPr>
            <w:tcW w:w="193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汾阳市生活垃圾焚烧发电改造</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项目</w:t>
            </w:r>
          </w:p>
        </w:tc>
        <w:tc>
          <w:tcPr>
            <w:tcW w:w="95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汾阳市</w:t>
            </w:r>
          </w:p>
        </w:tc>
        <w:tc>
          <w:tcPr>
            <w:tcW w:w="11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+250</w:t>
            </w:r>
          </w:p>
        </w:tc>
        <w:tc>
          <w:tcPr>
            <w:tcW w:w="12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w:t>
            </w:r>
          </w:p>
        </w:tc>
        <w:tc>
          <w:tcPr>
            <w:tcW w:w="80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同项目2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w:t>
            </w:r>
          </w:p>
        </w:tc>
        <w:tc>
          <w:tcPr>
            <w:tcW w:w="193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临县生活垃圾焚烧发电项目</w:t>
            </w:r>
          </w:p>
        </w:tc>
        <w:tc>
          <w:tcPr>
            <w:tcW w:w="95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临县</w:t>
            </w:r>
          </w:p>
        </w:tc>
        <w:tc>
          <w:tcPr>
            <w:tcW w:w="11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500</w:t>
            </w:r>
          </w:p>
        </w:tc>
        <w:tc>
          <w:tcPr>
            <w:tcW w:w="12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7.5</w:t>
            </w:r>
          </w:p>
        </w:tc>
        <w:tc>
          <w:tcPr>
            <w:tcW w:w="80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临县、岚县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6</w:t>
            </w:r>
          </w:p>
        </w:tc>
        <w:tc>
          <w:tcPr>
            <w:tcW w:w="193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highlight w:val="none"/>
                <w:lang w:val="en-US" w:eastAsia="zh-CN"/>
              </w:rPr>
              <w:t>吕梁市中阳县工业园区生活垃圾焚烧协同处置工农业废弃物热电联产项目</w:t>
            </w:r>
          </w:p>
        </w:tc>
        <w:tc>
          <w:tcPr>
            <w:tcW w:w="95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中阳县</w:t>
            </w:r>
          </w:p>
        </w:tc>
        <w:tc>
          <w:tcPr>
            <w:tcW w:w="11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1000（其中生活垃圾500）</w:t>
            </w:r>
          </w:p>
        </w:tc>
        <w:tc>
          <w:tcPr>
            <w:tcW w:w="12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24</w:t>
            </w:r>
          </w:p>
        </w:tc>
        <w:tc>
          <w:tcPr>
            <w:tcW w:w="80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石楼县、交口县、孝义市部分区域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45"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7</w:t>
            </w:r>
          </w:p>
        </w:tc>
        <w:tc>
          <w:tcPr>
            <w:tcW w:w="193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兴县生活垃圾裂解气化焚烧处置项目</w:t>
            </w:r>
          </w:p>
        </w:tc>
        <w:tc>
          <w:tcPr>
            <w:tcW w:w="956"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兴县</w:t>
            </w:r>
          </w:p>
        </w:tc>
        <w:tc>
          <w:tcPr>
            <w:tcW w:w="11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240</w:t>
            </w:r>
          </w:p>
        </w:tc>
        <w:tc>
          <w:tcPr>
            <w:tcW w:w="1219"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w:t>
            </w:r>
          </w:p>
        </w:tc>
        <w:tc>
          <w:tcPr>
            <w:tcW w:w="800" w:type="dxa"/>
            <w:vMerge w:val="continue"/>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p>
        </w:tc>
        <w:tc>
          <w:tcPr>
            <w:tcW w:w="1947" w:type="dxa"/>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兴县</w:t>
            </w:r>
          </w:p>
        </w:tc>
      </w:tr>
    </w:tbl>
    <w:p>
      <w:pPr>
        <w:pStyle w:val="3"/>
        <w:rPr>
          <w:rFonts w:hint="default" w:ascii="Times New Roman" w:hAnsi="Times New Roman" w:cs="Times New Roman"/>
          <w:lang w:val="en-US" w:eastAsia="zh-CN"/>
        </w:rPr>
      </w:pPr>
      <w:bookmarkStart w:id="47" w:name="_Toc18447"/>
      <w:bookmarkStart w:id="48" w:name="_Toc2653"/>
      <w:bookmarkStart w:id="49" w:name="_Toc7797"/>
      <w:bookmarkStart w:id="50" w:name="_Toc32542"/>
      <w:r>
        <w:rPr>
          <w:rFonts w:hint="default" w:ascii="Times New Roman" w:hAnsi="Times New Roman" w:cs="Times New Roman"/>
          <w:lang w:val="en-US" w:eastAsia="zh-CN"/>
        </w:rPr>
        <w:t>四、重点任务</w:t>
      </w:r>
      <w:bookmarkEnd w:id="47"/>
      <w:bookmarkEnd w:id="48"/>
      <w:bookmarkEnd w:id="49"/>
      <w:bookmarkEnd w:id="50"/>
    </w:p>
    <w:p>
      <w:pPr>
        <w:pStyle w:val="4"/>
        <w:rPr>
          <w:rFonts w:hint="default" w:ascii="Times New Roman" w:hAnsi="Times New Roman" w:cs="Times New Roman"/>
          <w:lang w:val="en-US" w:eastAsia="zh-CN"/>
        </w:rPr>
      </w:pPr>
      <w:bookmarkStart w:id="51" w:name="_Toc21712"/>
      <w:bookmarkStart w:id="52" w:name="_Toc6806"/>
      <w:bookmarkStart w:id="53" w:name="_Toc27227"/>
      <w:bookmarkStart w:id="54" w:name="_Toc31382"/>
      <w:r>
        <w:rPr>
          <w:rFonts w:hint="default" w:ascii="Times New Roman" w:hAnsi="Times New Roman" w:cs="Times New Roman"/>
          <w:lang w:val="en-US" w:eastAsia="zh-CN"/>
        </w:rPr>
        <w:t>（一）健全生活垃圾分类收运体系</w:t>
      </w:r>
      <w:bookmarkEnd w:id="51"/>
      <w:bookmarkEnd w:id="52"/>
      <w:bookmarkEnd w:id="53"/>
      <w:bookmarkEnd w:id="54"/>
    </w:p>
    <w:p>
      <w:pPr>
        <w:outlineLvl w:val="9"/>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科学配置分类投放设施。</w:t>
      </w:r>
      <w:r>
        <w:rPr>
          <w:rFonts w:hint="default" w:ascii="Times New Roman" w:hAnsi="Times New Roman" w:eastAsia="仿宋" w:cs="Times New Roman"/>
          <w:color w:val="auto"/>
          <w:highlight w:val="none"/>
          <w:lang w:val="en-US" w:eastAsia="zh-CN"/>
        </w:rPr>
        <w:t>综合考虑辖区自然条件、气候特征、经济水平、生活习惯、垃圾成分及特点等因素，推动各市构建与末端处理能力相适应的县级地区生活垃圾分类方式，相应配备生活垃圾投放设施，避免出现“先分后混”。鼓励建制镇及农村地区推行简便易行的分类方式和资源化利用方式。</w:t>
      </w:r>
    </w:p>
    <w:p>
      <w:pPr>
        <w:outlineLvl w:val="9"/>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因地制宜健全收运体系。</w:t>
      </w:r>
      <w:r>
        <w:rPr>
          <w:rFonts w:hint="default" w:ascii="Times New Roman" w:hAnsi="Times New Roman" w:eastAsia="仿宋" w:cs="Times New Roman"/>
          <w:color w:val="auto"/>
          <w:highlight w:val="none"/>
          <w:lang w:val="en-US" w:eastAsia="zh-CN"/>
        </w:rPr>
        <w:t>按照城乡统筹和区域统筹的原则，建立与生活垃圾分类、资源化利用和无害化处理等相衔接的收转运体系，提高收集率和收运效率，扩大分类收集覆盖面。加快中心城区生活垃圾前端收集装备升级改造，提升垃圾收运效率。县级地区要根据辖区地域特点、经济运输半径、垃圾收运需求等因素合理布局建设收集点、收集站、中转压缩站等设施，配备收运车辆及设备，健全收集运输网络。到2025年底，有条件的县级地区实现收运体系全覆盖。</w:t>
      </w:r>
    </w:p>
    <w:p>
      <w:pPr>
        <w:pStyle w:val="4"/>
        <w:rPr>
          <w:rFonts w:hint="default" w:ascii="Times New Roman" w:hAnsi="Times New Roman" w:cs="Times New Roman"/>
          <w:lang w:val="en-US" w:eastAsia="zh-CN"/>
        </w:rPr>
      </w:pPr>
      <w:bookmarkStart w:id="55" w:name="_Toc8376"/>
      <w:bookmarkStart w:id="56" w:name="_Toc23695"/>
      <w:bookmarkStart w:id="57" w:name="_Toc16929"/>
      <w:bookmarkStart w:id="58" w:name="_Toc29882"/>
      <w:r>
        <w:rPr>
          <w:rFonts w:hint="default" w:ascii="Times New Roman" w:hAnsi="Times New Roman" w:cs="Times New Roman"/>
          <w:lang w:val="en-US" w:eastAsia="zh-CN"/>
        </w:rPr>
        <w:t>（二）提升焚烧设施处理能力</w:t>
      </w:r>
      <w:bookmarkEnd w:id="55"/>
      <w:bookmarkEnd w:id="56"/>
      <w:bookmarkEnd w:id="57"/>
      <w:bookmarkEnd w:id="58"/>
    </w:p>
    <w:p>
      <w:pPr>
        <w:outlineLvl w:val="9"/>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充分发挥存量焚烧处理设施能力。</w:t>
      </w:r>
      <w:r>
        <w:rPr>
          <w:rFonts w:hint="default" w:ascii="Times New Roman" w:hAnsi="Times New Roman" w:eastAsia="仿宋" w:cs="Times New Roman"/>
          <w:b w:val="0"/>
          <w:bCs w:val="0"/>
          <w:color w:val="auto"/>
          <w:highlight w:val="none"/>
          <w:lang w:val="en-US" w:eastAsia="zh-CN"/>
        </w:rPr>
        <w:t>推动</w:t>
      </w:r>
      <w:r>
        <w:rPr>
          <w:rFonts w:hint="default" w:ascii="Times New Roman" w:hAnsi="Times New Roman" w:eastAsia="仿宋" w:cs="Times New Roman"/>
          <w:color w:val="auto"/>
          <w:highlight w:val="none"/>
          <w:lang w:val="en-US" w:eastAsia="zh-CN"/>
        </w:rPr>
        <w:t>各市根据现有焚烧处理设施能力、负荷率等因素，在保障运行经济性的前提下，进一步健全与焚烧处理能力相匹配的收运系统，尽可能扩大设施覆盖范围，确保现有设施处理能力得到充分利用。</w:t>
      </w:r>
    </w:p>
    <w:p>
      <w:pPr>
        <w:outlineLvl w:val="9"/>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加快推进专项规划项目落地实施。</w:t>
      </w:r>
      <w:r>
        <w:rPr>
          <w:rFonts w:hint="default" w:ascii="Times New Roman" w:hAnsi="Times New Roman" w:eastAsia="仿宋" w:cs="Times New Roman"/>
          <w:color w:val="auto"/>
          <w:highlight w:val="none"/>
          <w:lang w:val="en-US" w:eastAsia="zh-CN"/>
        </w:rPr>
        <w:t>对纳入本规划的项目，各</w:t>
      </w:r>
      <w:r>
        <w:rPr>
          <w:rFonts w:hint="eastAsia" w:eastAsia="仿宋" w:cs="Times New Roman"/>
          <w:color w:val="auto"/>
          <w:highlight w:val="none"/>
          <w:lang w:val="en-US" w:eastAsia="zh-CN"/>
        </w:rPr>
        <w:t>市</w:t>
      </w:r>
      <w:r>
        <w:rPr>
          <w:rFonts w:hint="default" w:ascii="Times New Roman" w:hAnsi="Times New Roman" w:eastAsia="仿宋" w:cs="Times New Roman"/>
          <w:color w:val="auto"/>
          <w:highlight w:val="none"/>
          <w:lang w:val="en-US" w:eastAsia="zh-CN"/>
        </w:rPr>
        <w:t>要加快推进前期工作，纳入审批“绿色通道”，提高审批效率，尽快推动项目建成投运。近期规划的生活垃圾焚烧发电项目力争在2023年底全部开工建设，远期项目要加快开展前期工作，在2028年底仍未能开工建设的项目视为自动放弃。垃圾清运量超出预期或项目开工建设不及预期，及时递补储备</w:t>
      </w:r>
      <w:bookmarkStart w:id="135" w:name="_GoBack"/>
      <w:bookmarkEnd w:id="135"/>
      <w:r>
        <w:rPr>
          <w:rFonts w:hint="default" w:ascii="Times New Roman" w:hAnsi="Times New Roman" w:eastAsia="仿宋" w:cs="Times New Roman"/>
          <w:color w:val="auto"/>
          <w:highlight w:val="none"/>
          <w:lang w:val="en-US" w:eastAsia="zh-CN"/>
        </w:rPr>
        <w:t>项目，储备项目由各市</w:t>
      </w:r>
      <w:r>
        <w:rPr>
          <w:rFonts w:hint="eastAsia" w:eastAsia="仿宋" w:cs="Times New Roman"/>
          <w:color w:val="auto"/>
          <w:highlight w:val="none"/>
          <w:lang w:val="en-US" w:eastAsia="zh-CN"/>
        </w:rPr>
        <w:t>政府组织</w:t>
      </w:r>
      <w:r>
        <w:rPr>
          <w:rFonts w:hint="default" w:ascii="Times New Roman" w:hAnsi="Times New Roman" w:eastAsia="仿宋" w:cs="Times New Roman"/>
          <w:color w:val="auto"/>
          <w:highlight w:val="none"/>
          <w:lang w:val="en-US" w:eastAsia="zh-CN"/>
        </w:rPr>
        <w:t>科学论证后启动立项程序，并向省发展改革委</w:t>
      </w:r>
      <w:r>
        <w:rPr>
          <w:rFonts w:hint="eastAsia" w:eastAsia="仿宋" w:cs="Times New Roman"/>
          <w:color w:val="auto"/>
          <w:highlight w:val="none"/>
          <w:lang w:val="en-US" w:eastAsia="zh-CN"/>
        </w:rPr>
        <w:t>、省住建厅</w:t>
      </w:r>
      <w:r>
        <w:rPr>
          <w:rFonts w:hint="default" w:ascii="Times New Roman" w:hAnsi="Times New Roman" w:eastAsia="仿宋" w:cs="Times New Roman"/>
          <w:color w:val="auto"/>
          <w:highlight w:val="none"/>
          <w:lang w:val="en-US" w:eastAsia="zh-CN"/>
        </w:rPr>
        <w:t>报备。</w:t>
      </w:r>
    </w:p>
    <w:p>
      <w:pPr>
        <w:pStyle w:val="4"/>
        <w:rPr>
          <w:rFonts w:hint="default" w:ascii="Times New Roman" w:hAnsi="Times New Roman" w:cs="Times New Roman"/>
          <w:highlight w:val="none"/>
          <w:lang w:val="en-US" w:eastAsia="zh-CN"/>
        </w:rPr>
      </w:pPr>
      <w:bookmarkStart w:id="59" w:name="_Toc17347"/>
      <w:bookmarkStart w:id="60" w:name="_Toc22621"/>
      <w:bookmarkStart w:id="61" w:name="_Toc3007"/>
      <w:bookmarkStart w:id="62" w:name="_Toc30170"/>
      <w:r>
        <w:rPr>
          <w:rFonts w:hint="default" w:ascii="Times New Roman" w:hAnsi="Times New Roman" w:cs="Times New Roman"/>
          <w:highlight w:val="none"/>
          <w:lang w:val="en-US" w:eastAsia="zh-CN"/>
        </w:rPr>
        <w:t>（三）</w:t>
      </w:r>
      <w:bookmarkEnd w:id="59"/>
      <w:bookmarkEnd w:id="60"/>
      <w:bookmarkEnd w:id="61"/>
      <w:r>
        <w:rPr>
          <w:rFonts w:hint="default" w:ascii="Times New Roman" w:hAnsi="Times New Roman" w:cs="Times New Roman"/>
          <w:highlight w:val="none"/>
          <w:lang w:val="en-US" w:eastAsia="zh-CN"/>
        </w:rPr>
        <w:t>加强设施建设运行监管</w:t>
      </w:r>
      <w:bookmarkEnd w:id="62"/>
    </w:p>
    <w:p>
      <w:pPr>
        <w:outlineLvl w:val="9"/>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lang w:val="en-US" w:eastAsia="zh-CN"/>
        </w:rPr>
        <w:t>提升既有设施运行水平。</w:t>
      </w:r>
      <w:r>
        <w:rPr>
          <w:rFonts w:hint="default" w:ascii="Times New Roman" w:hAnsi="Times New Roman" w:eastAsia="仿宋" w:cs="Times New Roman"/>
          <w:color w:val="auto"/>
          <w:highlight w:val="none"/>
        </w:rPr>
        <w:t>积极推动存量生活垃圾焚烧设施提标改造，持续提升设施运行管理水平，确保污染物达标排放。逐步推动将生活垃圾收集站、转运站以及焚烧厂内垃圾运输、卸料、贮存等设施进行密闭式改造。加强存量填埋设施规范化运行，补齐渗滤液、填埋气等处置设施短板</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规范有序开展到期填埋设施封场治理工作。</w:t>
      </w:r>
    </w:p>
    <w:p>
      <w:pPr>
        <w:outlineLvl w:val="9"/>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lang w:val="en-US" w:eastAsia="zh-CN"/>
        </w:rPr>
        <w:t>加强新上项目建设管理。</w:t>
      </w:r>
      <w:r>
        <w:rPr>
          <w:rFonts w:hint="default" w:ascii="Times New Roman" w:hAnsi="Times New Roman" w:eastAsia="仿宋" w:cs="Times New Roman"/>
          <w:color w:val="auto"/>
          <w:highlight w:val="none"/>
        </w:rPr>
        <w:t>加强新</w:t>
      </w:r>
      <w:r>
        <w:rPr>
          <w:rFonts w:hint="default" w:ascii="Times New Roman" w:hAnsi="Times New Roman" w:eastAsia="仿宋" w:cs="Times New Roman"/>
          <w:color w:val="auto"/>
          <w:highlight w:val="none"/>
          <w:lang w:val="en-US" w:eastAsia="zh-CN"/>
        </w:rPr>
        <w:t>建</w:t>
      </w:r>
      <w:r>
        <w:rPr>
          <w:rFonts w:hint="default" w:ascii="Times New Roman" w:hAnsi="Times New Roman" w:eastAsia="仿宋" w:cs="Times New Roman"/>
          <w:color w:val="auto"/>
          <w:highlight w:val="none"/>
        </w:rPr>
        <w:t>生活垃圾焚烧项目质量管理，项目建设应符合生活垃圾焚烧处理工程技术规范等相关标准，落实建设单位主体责任，完善各项管理制度、技术措施及工作程序。</w:t>
      </w:r>
    </w:p>
    <w:p>
      <w:pPr>
        <w:outlineLvl w:val="9"/>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lang w:val="en-US" w:eastAsia="zh-CN"/>
        </w:rPr>
        <w:t>强化设施运行监管。</w:t>
      </w:r>
      <w:r>
        <w:rPr>
          <w:rFonts w:hint="default" w:ascii="Times New Roman" w:hAnsi="Times New Roman" w:eastAsia="仿宋" w:cs="Times New Roman"/>
          <w:color w:val="auto"/>
          <w:sz w:val="32"/>
          <w:szCs w:val="24"/>
          <w:highlight w:val="none"/>
        </w:rPr>
        <w:t>规范作业程序，垃圾焚烧设施建设和运营严格按照相关技术标准和环保标准执行，配备完善的污染控制及监控设施，</w:t>
      </w:r>
      <w:r>
        <w:rPr>
          <w:rFonts w:hint="default" w:ascii="Times New Roman" w:hAnsi="Times New Roman" w:eastAsia="仿宋" w:cs="Times New Roman"/>
          <w:color w:val="auto"/>
          <w:highlight w:val="none"/>
        </w:rPr>
        <w:t>同步建设，同步使用</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sz w:val="32"/>
          <w:szCs w:val="24"/>
          <w:highlight w:val="none"/>
        </w:rPr>
        <w:t>开展处理设施污染物排放监测，并向社会公示主要污染物监测结果，实施污染全过程控制。严格落实</w:t>
      </w:r>
      <w:r>
        <w:rPr>
          <w:rFonts w:hint="default" w:ascii="Times New Roman" w:hAnsi="Times New Roman" w:eastAsia="仿宋" w:cs="Times New Roman"/>
          <w:color w:val="auto"/>
          <w:sz w:val="32"/>
          <w:szCs w:val="24"/>
          <w:highlight w:val="none"/>
          <w:lang w:eastAsia="zh-CN"/>
        </w:rPr>
        <w:t>“</w:t>
      </w:r>
      <w:r>
        <w:rPr>
          <w:rFonts w:hint="default" w:ascii="Times New Roman" w:hAnsi="Times New Roman" w:eastAsia="仿宋" w:cs="Times New Roman"/>
          <w:color w:val="auto"/>
          <w:sz w:val="32"/>
          <w:szCs w:val="24"/>
          <w:highlight w:val="none"/>
        </w:rPr>
        <w:t>装、树、联</w:t>
      </w:r>
      <w:r>
        <w:rPr>
          <w:rFonts w:hint="default" w:ascii="Times New Roman" w:hAnsi="Times New Roman" w:eastAsia="仿宋" w:cs="Times New Roman"/>
          <w:color w:val="auto"/>
          <w:sz w:val="32"/>
          <w:szCs w:val="24"/>
          <w:highlight w:val="none"/>
          <w:lang w:eastAsia="zh-CN"/>
        </w:rPr>
        <w:t>”</w:t>
      </w:r>
      <w:r>
        <w:rPr>
          <w:rFonts w:hint="default" w:ascii="Times New Roman" w:hAnsi="Times New Roman" w:eastAsia="仿宋" w:cs="Times New Roman"/>
          <w:color w:val="auto"/>
          <w:sz w:val="32"/>
          <w:szCs w:val="24"/>
          <w:highlight w:val="none"/>
        </w:rPr>
        <w:t>相关要求，逐步实现污染物排放数据信息公开。</w:t>
      </w:r>
    </w:p>
    <w:p>
      <w:pPr>
        <w:pStyle w:val="4"/>
        <w:rPr>
          <w:rFonts w:hint="default" w:ascii="Times New Roman" w:hAnsi="Times New Roman" w:cs="Times New Roman"/>
          <w:lang w:val="en-US" w:eastAsia="zh-CN"/>
        </w:rPr>
      </w:pPr>
      <w:bookmarkStart w:id="63" w:name="_Toc2250"/>
      <w:bookmarkStart w:id="64" w:name="_Toc4972"/>
      <w:bookmarkStart w:id="65" w:name="_Toc18877"/>
      <w:bookmarkStart w:id="66" w:name="_Toc17474"/>
      <w:r>
        <w:rPr>
          <w:rFonts w:hint="default" w:ascii="Times New Roman" w:hAnsi="Times New Roman" w:cs="Times New Roman"/>
          <w:lang w:val="en-US" w:eastAsia="zh-CN"/>
        </w:rPr>
        <w:t>（四）探索提升设施可持续运营能力</w:t>
      </w:r>
      <w:bookmarkEnd w:id="63"/>
      <w:bookmarkEnd w:id="64"/>
      <w:bookmarkEnd w:id="65"/>
      <w:bookmarkEnd w:id="66"/>
    </w:p>
    <w:p>
      <w:pPr>
        <w:outlineLvl w:val="9"/>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lang w:val="en-US" w:eastAsia="zh-CN"/>
        </w:rPr>
        <w:t>倡导建立资源循环利用基地。</w:t>
      </w:r>
      <w:r>
        <w:rPr>
          <w:rFonts w:hint="default" w:ascii="Times New Roman" w:hAnsi="Times New Roman" w:eastAsia="仿宋" w:cs="Times New Roman"/>
          <w:color w:val="auto"/>
          <w:highlight w:val="none"/>
        </w:rPr>
        <w:t>推广园区化建设模式，对生活垃圾、建筑垃圾、餐厨废弃物、园林废弃物、城市污泥等城市废弃物进行分类利用和集中协同处置，解决垃圾处理设施选址难的问题</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在具备条件的县级地区建设静脉产业基地，鼓励开展辖区内生活垃圾与农林废弃物、污泥等固体废物协同处置，实现处理能力共用共享，提升项目经济性。</w:t>
      </w:r>
    </w:p>
    <w:p>
      <w:pPr>
        <w:outlineLvl w:val="9"/>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创新建设运营模式。</w:t>
      </w:r>
      <w:r>
        <w:rPr>
          <w:rFonts w:hint="default" w:ascii="Times New Roman" w:hAnsi="Times New Roman" w:eastAsia="仿宋" w:cs="Times New Roman"/>
          <w:color w:val="auto"/>
          <w:highlight w:val="none"/>
          <w:lang w:val="en-US" w:eastAsia="zh-CN"/>
        </w:rPr>
        <w:t>鼓励有条件的县级地区探索推进生活垃圾处理整体托管模式，“一县一主体”依托大型企业一体化推进县级地区生活垃圾收集、转运、处理，提升县级地区生活垃圾全链条处理水平。鼓励支持社会资本参与县级地区生活垃圾焚烧项目建设运营。完善生活垃圾收费制度，提高收缴率，推动项目可持续运营。鼓励各地区积极与国家开发银行等政策性银行加强工作衔接，建立健全地方政府、企业、金融机构三方合作机制，统筹谋划、整体推进县级地区生活垃圾收集处理项目建设。</w:t>
      </w:r>
    </w:p>
    <w:p>
      <w:pPr>
        <w:outlineLvl w:val="9"/>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lang w:val="en-US" w:eastAsia="zh-CN"/>
        </w:rPr>
        <w:t>探索余热多元化利用。</w:t>
      </w:r>
      <w:r>
        <w:rPr>
          <w:rFonts w:hint="default" w:ascii="Times New Roman" w:hAnsi="Times New Roman" w:eastAsia="仿宋" w:cs="Times New Roman"/>
          <w:color w:val="auto"/>
          <w:highlight w:val="none"/>
        </w:rPr>
        <w:t>根据垃圾焚烧设施的规模、周边用热条件合理确定生活垃圾焚烧余热利用方式，具备发电上网条件的优先发电上网，不具备发电上网条件的，加强</w:t>
      </w:r>
      <w:r>
        <w:rPr>
          <w:rFonts w:hint="default" w:ascii="Times New Roman" w:hAnsi="Times New Roman" w:eastAsia="仿宋" w:cs="Times New Roman"/>
          <w:color w:val="auto"/>
          <w:highlight w:val="none"/>
          <w:lang w:eastAsia="zh-CN"/>
        </w:rPr>
        <w:t>与已</w:t>
      </w:r>
      <w:r>
        <w:rPr>
          <w:rFonts w:hint="default" w:ascii="Times New Roman" w:hAnsi="Times New Roman" w:eastAsia="仿宋" w:cs="Times New Roman"/>
          <w:color w:val="auto"/>
          <w:highlight w:val="none"/>
        </w:rPr>
        <w:t>布局的工业园区供热、市政供暖、农业用热等衔接联动，丰富余热利用途径，降低设施运营成本，有条件的地区优先利用生活垃圾和农林废弃物替代化石能源供热供暖。</w:t>
      </w:r>
    </w:p>
    <w:p>
      <w:pPr>
        <w:pStyle w:val="3"/>
        <w:rPr>
          <w:rFonts w:hint="default" w:ascii="Times New Roman" w:hAnsi="Times New Roman" w:eastAsia="仿宋" w:cs="Times New Roman"/>
          <w:color w:val="auto"/>
          <w:highlight w:val="none"/>
          <w:lang w:val="en-US" w:eastAsia="zh-CN"/>
        </w:rPr>
      </w:pPr>
      <w:bookmarkStart w:id="67" w:name="_Toc2035"/>
      <w:bookmarkStart w:id="68" w:name="_Toc6233"/>
      <w:bookmarkStart w:id="69" w:name="_Toc14630"/>
      <w:bookmarkStart w:id="70" w:name="_Toc16995"/>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"_Toc36138633"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五、环境影响</w:t>
      </w:r>
      <w:r>
        <w:rPr>
          <w:rFonts w:hint="default" w:ascii="Times New Roman" w:hAnsi="Times New Roman" w:cs="Times New Roman"/>
          <w:lang w:val="en-US" w:eastAsia="zh-CN"/>
        </w:rPr>
        <w:fldChar w:fldCharType="end"/>
      </w:r>
      <w:bookmarkEnd w:id="67"/>
      <w:bookmarkEnd w:id="68"/>
      <w:bookmarkEnd w:id="69"/>
      <w:r>
        <w:rPr>
          <w:rFonts w:hint="default" w:ascii="Times New Roman" w:hAnsi="Times New Roman" w:cs="Times New Roman"/>
          <w:lang w:val="en-US" w:eastAsia="zh-CN"/>
        </w:rPr>
        <w:t>评价</w:t>
      </w:r>
      <w:bookmarkEnd w:id="70"/>
    </w:p>
    <w:p>
      <w:pPr>
        <w:pStyle w:val="4"/>
        <w:rPr>
          <w:rFonts w:hint="default" w:ascii="Times New Roman" w:hAnsi="Times New Roman" w:eastAsia="仿宋" w:cs="Times New Roman"/>
          <w:color w:val="auto"/>
          <w:highlight w:val="none"/>
          <w:u w:val="none"/>
          <w:lang w:val="en-US" w:eastAsia="zh-CN"/>
        </w:rPr>
      </w:pPr>
      <w:bookmarkStart w:id="71" w:name="_Toc27372"/>
      <w:bookmarkStart w:id="72" w:name="_Toc21976"/>
      <w:bookmarkStart w:id="73" w:name="_Toc8192"/>
      <w:bookmarkStart w:id="74" w:name="_Toc12262"/>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"_Toc36138634"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（一）环境影响分析</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和评价</w:t>
      </w:r>
      <w:bookmarkEnd w:id="71"/>
      <w:bookmarkEnd w:id="72"/>
      <w:bookmarkEnd w:id="73"/>
      <w:bookmarkEnd w:id="74"/>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与相关规划协调性分析。</w:t>
      </w:r>
      <w:r>
        <w:rPr>
          <w:rFonts w:hint="default" w:ascii="Times New Roman" w:hAnsi="Times New Roman" w:eastAsia="仿宋" w:cs="Times New Roman"/>
          <w:color w:val="auto"/>
          <w:highlight w:val="none"/>
          <w:lang w:val="en-US" w:eastAsia="zh-CN"/>
        </w:rPr>
        <w:t>本规划与《“十四五”城镇生活垃圾分类和处理设施发展规划（发改环资〔2021〕642号）》《关于进一步做好生活垃圾焚烧发电厂规划选址工作的通知》（发改环资规〔2017〕2166号）及“三线一单”等相关规划基本协调。</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大气环境影响分析。</w:t>
      </w:r>
      <w:r>
        <w:rPr>
          <w:rFonts w:hint="default" w:ascii="Times New Roman" w:hAnsi="Times New Roman" w:eastAsia="仿宋" w:cs="Times New Roman"/>
          <w:color w:val="auto"/>
          <w:highlight w:val="none"/>
          <w:lang w:val="en-US" w:eastAsia="zh-CN"/>
        </w:rPr>
        <w:t>生活垃圾焚烧项目的大气污染源主要为净化处理后的焚烧炉烟气，通过采取相应的措施达标排放，大气环境影响可接受。</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水环境影响分析。</w:t>
      </w:r>
      <w:r>
        <w:rPr>
          <w:rFonts w:hint="default" w:ascii="Times New Roman" w:hAnsi="Times New Roman" w:eastAsia="仿宋" w:cs="Times New Roman"/>
          <w:color w:val="auto"/>
          <w:highlight w:val="none"/>
          <w:lang w:val="en-US" w:eastAsia="zh-CN"/>
        </w:rPr>
        <w:t>生活垃圾焚烧项目外排废水经厂内处理达标后，回用至项目专用集水池或运送至污水处理厂处理，不直排入周边地表水环境，不会对水环境产生影响。生活垃圾焚烧项目对地下水环境的影响主要在于垃圾储坑及渗滤液调节池在事故情况下对地下水的影响。通过采取严格的防渗、防腐等措施，渗透进入地下水的可能性较小，对地下水环境的影响是可接受的。</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声环境影响分析。</w:t>
      </w:r>
      <w:r>
        <w:rPr>
          <w:rFonts w:hint="default" w:ascii="Times New Roman" w:hAnsi="Times New Roman" w:eastAsia="仿宋" w:cs="Times New Roman"/>
          <w:color w:val="auto"/>
          <w:highlight w:val="none"/>
          <w:lang w:val="en-US" w:eastAsia="zh-CN"/>
        </w:rPr>
        <w:t>生活垃圾焚烧项目主要噪声源为汽轮机、锅炉、风机、空压机、冷却塔及各类泵等运行噪声，对外部环境有一定影响。项目除采用低噪音设备、材料外，对主要的噪声源增加隔声、减震等防治措施，可满足厂界噪声达标要求。</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土壤环境影响分析。</w:t>
      </w:r>
      <w:r>
        <w:rPr>
          <w:rFonts w:hint="default" w:ascii="Times New Roman" w:hAnsi="Times New Roman" w:eastAsia="仿宋" w:cs="Times New Roman"/>
          <w:color w:val="auto"/>
          <w:highlight w:val="none"/>
          <w:lang w:val="en-US" w:eastAsia="zh-CN"/>
        </w:rPr>
        <w:t>生活垃圾焚烧项目在设计各类水工构筑物时采用严格的防渗、防腐等措施，水污染物污染土壤的概率较小。大气污染物中重金属、二噁英类在执行国家标准，沉降对土壤环境质量的影响较小。因此，规划项目对土壤环境的影响是可接受的。</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i w:val="0"/>
          <w:iCs w:val="0"/>
          <w:color w:val="auto"/>
          <w:highlight w:val="none"/>
          <w:lang w:val="en-US" w:eastAsia="zh-CN"/>
        </w:rPr>
        <w:t>环境风险分析。</w:t>
      </w:r>
      <w:r>
        <w:rPr>
          <w:rFonts w:hint="default" w:ascii="Times New Roman" w:hAnsi="Times New Roman" w:eastAsia="仿宋" w:cs="Times New Roman"/>
          <w:color w:val="auto"/>
          <w:highlight w:val="none"/>
          <w:lang w:val="en-US" w:eastAsia="zh-CN"/>
        </w:rPr>
        <w:t>生活垃圾焚烧项目主要危险物质为启动燃料（柴油或天然气）、二噁英、恶臭气体、二氧化硫、氮氧化合物、一氧化碳、氯化氢、重金属及其化合物等。规划项目在采取有效的风险防范和应急措施后，环境风险可接受。</w:t>
      </w:r>
    </w:p>
    <w:p>
      <w:pPr>
        <w:pStyle w:val="4"/>
        <w:rPr>
          <w:rFonts w:hint="default" w:ascii="Times New Roman" w:hAnsi="Times New Roman" w:eastAsia="仿宋" w:cs="Times New Roman"/>
          <w:color w:val="auto"/>
          <w:highlight w:val="none"/>
          <w:u w:val="none"/>
          <w:lang w:val="en-US" w:eastAsia="zh-CN"/>
        </w:rPr>
      </w:pPr>
      <w:bookmarkStart w:id="75" w:name="_Toc28543"/>
      <w:bookmarkStart w:id="76" w:name="_Toc16059"/>
      <w:bookmarkStart w:id="77" w:name="_Toc595"/>
      <w:bookmarkStart w:id="78" w:name="_Toc983"/>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"_Toc36138635"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（二）预防</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和减缓影响的措施</w:t>
      </w:r>
      <w:bookmarkEnd w:id="75"/>
      <w:bookmarkEnd w:id="76"/>
      <w:bookmarkEnd w:id="77"/>
      <w:bookmarkEnd w:id="78"/>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本规划中各项目选址应符合国土空间规划要求，尽量远离生态保护红线区域，规划应严格落实生态环境分区管控要求，项目选址布局要依法依规避让自然保护区、风景名胜区、饮用水水源保护区和永久基本农田等环境敏感区域，合理确定垃圾焚烧发电项目与常住居民居住场所、农用地、地表水体以及其他敏感对象之间的位置关系，严格控制垃圾焚烧对周边区域的生态环境影响，保护周边居住区人民群众身体健康，使项目范围内无环境敏感目标；项目建设应当满足所在地大气污染防治、水资源保护、自然生态保护等要求，重点考虑垃圾焚烧发电项目可能产生的二嘌英、重金属等有害物质泄漏、大气污染物（含恶臭物质）的产生与扩散以及可能的环境风险等因素；应选用合适的焚烧炉型，对生活垃圾焚烧设施烟气中酸性气体、氮氧化物、颗粒物、有机物及重金属等进行控制；采用密闭式压缩车进行运输，垃圾卸料、垃圾输送系统及垃圾贮存池等采用密闭设计，垃圾贮存池和垃圾输送系统采用负压运行方式，生活垃圾渗滤液处理构筑物加盖密封等方式防止恶臭；渗滤液经处理达到《生活垃圾焚烧污染控制标准》中的要求及接管标准后接入城市污水处理设施处理后回用或达标排放；对厂区不同的污染防治区结合所处场地的天然基础层防渗性能以及场地地下水位埋深情况，采取相应的防渗措施；从项目厂址选择厂区平面布置优化、设备选型优化及隔声、减振等方面减小对声环境的影响；加强固体废弃物的综合利用，按照循环再利用的原则减少固体废弃物产生量。炉渣进行综合利用，焚烧飞灰采取稳定化处理后，应进行特性监测，满足《生活垃圾填埋场污染控制标准》要求，进入生活垃圾填埋场填埋；</w:t>
      </w:r>
      <w:r>
        <w:rPr>
          <w:rFonts w:hint="default" w:ascii="Times New Roman" w:hAnsi="Times New Roman" w:eastAsia="仿宋" w:cs="Times New Roman"/>
          <w:highlight w:val="none"/>
        </w:rPr>
        <w:t>垃圾焚烧飞灰作为危险废物，应按规定处置，防止污染土壤和地下水。</w:t>
      </w:r>
      <w:r>
        <w:rPr>
          <w:rFonts w:hint="default" w:ascii="Times New Roman" w:hAnsi="Times New Roman" w:eastAsia="仿宋" w:cs="Times New Roman"/>
          <w:color w:val="auto"/>
          <w:highlight w:val="none"/>
          <w:lang w:val="en-US" w:eastAsia="zh-CN"/>
        </w:rPr>
        <w:t>生活垃圾焚烧项目应建立完善的重点污染源监控体系，覆盖常规污染物、特征污染物的环境监测体系，实现烟气中一氧化碳、颗粒物、二氧化硫、氮氧化物、氯化氢和焚烧运行工况指标中炉内一氧化碳浓度、燃烧温度、含氧量在线监测，并与生态环境部门联网。</w:t>
      </w:r>
    </w:p>
    <w:p>
      <w:pPr>
        <w:pStyle w:val="4"/>
        <w:rPr>
          <w:rFonts w:hint="default" w:ascii="Times New Roman" w:hAnsi="Times New Roman" w:cs="Times New Roman"/>
          <w:lang w:val="en-US" w:eastAsia="zh-CN"/>
        </w:rPr>
      </w:pPr>
      <w:bookmarkStart w:id="79" w:name="_Toc27238"/>
      <w:bookmarkStart w:id="80" w:name="_Toc22891"/>
      <w:bookmarkStart w:id="81" w:name="_Toc22132"/>
      <w:bookmarkStart w:id="82" w:name="_Toc30215"/>
      <w:r>
        <w:rPr>
          <w:rFonts w:hint="default" w:ascii="Times New Roman" w:hAnsi="Times New Roman" w:cs="Times New Roman"/>
          <w:lang w:val="en-US" w:eastAsia="zh-CN"/>
        </w:rPr>
        <w:t>（三）环境影响分析结论</w:t>
      </w:r>
      <w:bookmarkEnd w:id="79"/>
      <w:bookmarkEnd w:id="80"/>
      <w:bookmarkEnd w:id="81"/>
      <w:bookmarkEnd w:id="82"/>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本规划目标和规模基本合理，总体布局考虑了环境因素。总体看来，规划符合国家相关政策要求，符合山西省相关城市发展规划和环保规划。采取切实可行的污染防治和生态保护措施后，不会改变区域环境功能，规划方案实施的环境风险可控。本规划经适当优化调整后，可以达到规划的各项环境保护目标。从环境保护角度考虑，本规划方案可行。</w:t>
      </w:r>
    </w:p>
    <w:p>
      <w:pPr>
        <w:pStyle w:val="3"/>
        <w:rPr>
          <w:rFonts w:hint="default" w:ascii="Times New Roman" w:hAnsi="Times New Roman" w:eastAsia="仿宋" w:cs="Times New Roman"/>
          <w:color w:val="auto"/>
          <w:highlight w:val="none"/>
          <w:lang w:val="en-US" w:eastAsia="zh-CN"/>
        </w:rPr>
      </w:pPr>
      <w:bookmarkStart w:id="83" w:name="_Toc18935"/>
      <w:bookmarkStart w:id="84" w:name="_Toc7413"/>
      <w:bookmarkStart w:id="85" w:name="_Toc3074"/>
      <w:bookmarkStart w:id="86" w:name="_Toc19232"/>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"_Toc36138627"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六、保障措施</w:t>
      </w:r>
      <w:r>
        <w:rPr>
          <w:rFonts w:hint="default" w:ascii="Times New Roman" w:hAnsi="Times New Roman" w:cs="Times New Roman"/>
          <w:lang w:val="en-US" w:eastAsia="zh-CN"/>
        </w:rPr>
        <w:fldChar w:fldCharType="end"/>
      </w:r>
      <w:bookmarkEnd w:id="83"/>
      <w:bookmarkEnd w:id="84"/>
      <w:bookmarkEnd w:id="85"/>
      <w:bookmarkEnd w:id="86"/>
    </w:p>
    <w:p>
      <w:pPr>
        <w:pStyle w:val="4"/>
        <w:rPr>
          <w:rFonts w:hint="default" w:ascii="Times New Roman" w:hAnsi="Times New Roman" w:cs="Times New Roman"/>
          <w:lang w:val="en-US" w:eastAsia="zh-CN"/>
        </w:rPr>
      </w:pPr>
      <w:bookmarkStart w:id="87" w:name="_Toc21943"/>
      <w:bookmarkStart w:id="88" w:name="_Toc21783"/>
      <w:bookmarkStart w:id="89" w:name="_Toc22916"/>
      <w:bookmarkStart w:id="90" w:name="_Toc10180"/>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"_Toc36138628"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（一）加强组织领导</w:t>
      </w:r>
      <w:r>
        <w:rPr>
          <w:rFonts w:hint="default" w:ascii="Times New Roman" w:hAnsi="Times New Roman" w:cs="Times New Roman"/>
          <w:lang w:val="en-US" w:eastAsia="zh-CN"/>
        </w:rPr>
        <w:fldChar w:fldCharType="end"/>
      </w:r>
      <w:bookmarkEnd w:id="87"/>
      <w:bookmarkEnd w:id="88"/>
      <w:bookmarkEnd w:id="89"/>
      <w:bookmarkEnd w:id="90"/>
    </w:p>
    <w:p>
      <w:pPr>
        <w:rPr>
          <w:rFonts w:hint="default" w:ascii="Times New Roman" w:hAnsi="Times New Roman" w:cs="Times New Roman"/>
          <w:highlight w:val="none"/>
          <w:lang w:val="en-US" w:eastAsia="zh-CN"/>
        </w:rPr>
      </w:pPr>
      <w:r>
        <w:rPr>
          <w:rFonts w:hint="default" w:ascii="Times New Roman" w:hAnsi="Times New Roman" w:eastAsia="仿宋" w:cs="Times New Roman"/>
          <w:color w:val="auto"/>
          <w:highlight w:val="none"/>
          <w:u w:val="none"/>
          <w:lang w:val="en-US" w:eastAsia="zh-CN"/>
        </w:rPr>
        <w:t>各市县人民政府要落实主体责任，要把垃圾处理设施建设作为解决群众身边生态环境问题的重要任务，列出责任清单，建立任务台账，积极做好项目前期准备、建设、竣工验收、项目后评估等工作，确保各项任务落实到位</w:t>
      </w:r>
      <w:r>
        <w:rPr>
          <w:rFonts w:hint="default" w:ascii="Times New Roman" w:hAnsi="Times New Roman" w:cs="Times New Roman"/>
          <w:highlight w:val="none"/>
          <w:lang w:val="en-US" w:eastAsia="zh-CN"/>
        </w:rPr>
        <w:t>。</w:t>
      </w:r>
      <w:r>
        <w:rPr>
          <w:rFonts w:hint="default" w:ascii="Times New Roman" w:hAnsi="Times New Roman" w:eastAsia="仿宋" w:cs="Times New Roman"/>
          <w:color w:val="auto"/>
          <w:highlight w:val="none"/>
          <w:u w:val="none"/>
          <w:lang w:val="en-US" w:eastAsia="zh-CN"/>
        </w:rPr>
        <w:t>省直相关部门要按照职责共同推进生活垃圾焚烧设施建设工作。省发展改革委要加强统筹协调，成立工作专班，完善协调机制；省住建厅要指导各市加快推进项目建设，建立台账，分类调度，每年对项目实施情况进行评估考核；省生态环境厅要督促各市加强生活垃圾焚烧发电项目生态环境监管；省自然资源厅要指导各市及时核发建设项目选址意见书，做好用地保障工作。</w:t>
      </w:r>
    </w:p>
    <w:p>
      <w:pPr>
        <w:pStyle w:val="4"/>
        <w:rPr>
          <w:rFonts w:hint="default" w:ascii="Times New Roman" w:hAnsi="Times New Roman" w:cs="Times New Roman"/>
          <w:lang w:val="en-US" w:eastAsia="zh-CN"/>
        </w:rPr>
      </w:pPr>
      <w:bookmarkStart w:id="91" w:name="_Toc8885"/>
      <w:bookmarkStart w:id="92" w:name="_Toc9914"/>
      <w:bookmarkStart w:id="93" w:name="_Toc24111"/>
      <w:bookmarkStart w:id="94" w:name="_Toc8509"/>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"_Toc36138629"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（二）强化</w:t>
      </w:r>
      <w:r>
        <w:rPr>
          <w:rFonts w:hint="default" w:ascii="Times New Roman" w:hAnsi="Times New Roman" w:cs="Times New Roman"/>
          <w:lang w:val="en-US" w:eastAsia="zh-CN"/>
        </w:rPr>
        <w:fldChar w:fldCharType="end"/>
      </w:r>
      <w:bookmarkEnd w:id="91"/>
      <w:bookmarkEnd w:id="92"/>
      <w:bookmarkEnd w:id="93"/>
      <w:r>
        <w:rPr>
          <w:rFonts w:hint="default" w:ascii="Times New Roman" w:hAnsi="Times New Roman" w:cs="Times New Roman"/>
          <w:lang w:val="en-US" w:eastAsia="zh-CN"/>
        </w:rPr>
        <w:t>监督管理</w:t>
      </w:r>
      <w:bookmarkEnd w:id="94"/>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eastAsia="zh-CN"/>
        </w:rPr>
        <w:t>行业主管部门要</w:t>
      </w:r>
      <w:r>
        <w:rPr>
          <w:rFonts w:hint="default" w:ascii="Times New Roman" w:hAnsi="Times New Roman" w:eastAsia="仿宋" w:cs="Times New Roman"/>
          <w:color w:val="auto"/>
          <w:highlight w:val="none"/>
        </w:rPr>
        <w:t>结合相关产业政策，以法律为依据，加快制定地方性法规、规章和政策，促进环卫行业依法管理。严格执行生活垃圾处理各项工程技术规范、操作流程和污染控制标准，鼓励和引导专业化企业规范建设、诚信运营，促进行业健康发展。完善环卫行业监管体系，建立污染物排放日常监测制度和督察巡视制度，强化运行管理考核，建立生活垃圾运营单位失信惩戒机制和黑名单制度，提高科学监管水平。组织开展第三方监管，规范监管机构资质要求，实现行业全过程专业化监管，促进行业规范发展。按照</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谁受益、谁付费</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的原则，建立污染损害补偿机制。</w:t>
      </w:r>
    </w:p>
    <w:p>
      <w:pPr>
        <w:pStyle w:val="4"/>
        <w:rPr>
          <w:rFonts w:hint="default" w:ascii="Times New Roman" w:hAnsi="Times New Roman" w:eastAsia="仿宋" w:cs="Times New Roman"/>
          <w:color w:val="auto"/>
          <w:highlight w:val="none"/>
          <w:lang w:val="en-US" w:eastAsia="zh-CN"/>
        </w:rPr>
      </w:pPr>
      <w:bookmarkStart w:id="95" w:name="_Toc26508"/>
      <w:bookmarkStart w:id="96" w:name="_Toc29066"/>
      <w:bookmarkStart w:id="97" w:name="_Toc8586"/>
      <w:bookmarkStart w:id="98" w:name="_Toc23834"/>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"_Toc36138630"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（三）</w:t>
      </w:r>
      <w:r>
        <w:rPr>
          <w:rFonts w:hint="default" w:ascii="Times New Roman" w:hAnsi="Times New Roman" w:cs="Times New Roman"/>
          <w:lang w:val="en-US" w:eastAsia="zh-CN"/>
        </w:rPr>
        <w:fldChar w:fldCharType="end"/>
      </w:r>
      <w:bookmarkEnd w:id="95"/>
      <w:bookmarkEnd w:id="96"/>
      <w:bookmarkEnd w:id="97"/>
      <w:r>
        <w:rPr>
          <w:rFonts w:hint="default" w:ascii="Times New Roman" w:hAnsi="Times New Roman" w:cs="Times New Roman"/>
          <w:lang w:val="en-US" w:eastAsia="zh-CN"/>
        </w:rPr>
        <w:t>加大资金政策支持</w:t>
      </w:r>
      <w:bookmarkEnd w:id="98"/>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坚持政府主导、社会参与、市场运作的投融资机制，拓宽筹资渠道。积极争取中央预算内资金、专项债券对规划内重点项目的支持，新建生活垃圾焚烧发电项目优先纳入绿电交易，建立健全生活垃圾处理收费制度，保障生活垃圾焚烧发电设施运行。落实生活垃圾分类和处理领域税收优惠政策。制定城镇生活垃圾收集和减量激励政策，建立利益导向机制。在防范化解地方政府隐性债务风险前提下，鼓励开发性金融机构发挥中长期贷款优势，支持生活垃圾处理设施建设项目。鼓励技术成熟、资金雄厚的专业化生活垃圾处理企业参与城乡生活垃圾焚烧设施建设及运维。</w:t>
      </w:r>
    </w:p>
    <w:p>
      <w:pPr>
        <w:pStyle w:val="4"/>
        <w:rPr>
          <w:rFonts w:hint="default" w:ascii="Times New Roman" w:hAnsi="Times New Roman" w:cs="Times New Roman"/>
          <w:lang w:val="en-US" w:eastAsia="zh-CN"/>
        </w:rPr>
      </w:pPr>
      <w:bookmarkStart w:id="99" w:name="_Toc2178"/>
      <w:bookmarkStart w:id="100" w:name="_Toc24543"/>
      <w:bookmarkStart w:id="101" w:name="_Toc22677"/>
      <w:bookmarkStart w:id="102" w:name="_Toc27996"/>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"_Toc36138632"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（四）加强宣传科普</w:t>
      </w:r>
      <w:r>
        <w:rPr>
          <w:rFonts w:hint="default" w:ascii="Times New Roman" w:hAnsi="Times New Roman" w:cs="Times New Roman"/>
          <w:lang w:val="en-US" w:eastAsia="zh-CN"/>
        </w:rPr>
        <w:fldChar w:fldCharType="end"/>
      </w:r>
      <w:bookmarkEnd w:id="99"/>
      <w:bookmarkEnd w:id="100"/>
      <w:bookmarkEnd w:id="101"/>
      <w:bookmarkEnd w:id="102"/>
    </w:p>
    <w:p>
      <w:pP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高度重视生活垃圾焚烧发电项目所在地周边社区发展和居民生活问题，积极开展多种形式的主题宣传活动，宣传普及有关生活垃圾处理处置的知识，倡导绿色健康生活方式，树立生活垃圾分类、资源节约、环境保护等观念。鼓励社会团体和公民积极参与循环经济和资源再利用项目建设，营造人人关心环境卫生、人人爱护环境卫生的良好局面。鼓励企业积极融入相邻社区公共事务建设，将矛盾对立方转变为利益相关方。完善规划和建设项目实施全过程的信息公开和公众参与机制，推动公众广泛参与环境卫生建设事业，使垃圾焚烧发电工程从</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博弈型</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向</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共享型</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转变，引导形成</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邻利效应</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w:t>
      </w:r>
    </w:p>
    <w:p>
      <w:pPr>
        <w:rPr>
          <w:rFonts w:hint="default" w:ascii="Times New Roman" w:hAnsi="Times New Roman" w:eastAsia="仿宋" w:cs="Times New Roman"/>
          <w:color w:val="auto"/>
          <w:highlight w:val="none"/>
          <w:u w:val="none"/>
          <w:lang w:val="en-US" w:eastAsia="zh-CN"/>
        </w:rPr>
      </w:pPr>
    </w:p>
    <w:p>
      <w:pPr>
        <w:pStyle w:val="5"/>
        <w:outlineLvl w:val="9"/>
        <w:rPr>
          <w:rFonts w:hint="default" w:ascii="Times New Roman" w:hAnsi="Times New Roman" w:eastAsia="仿宋" w:cs="Times New Roman"/>
          <w:color w:val="auto"/>
          <w:highlight w:val="none"/>
          <w:u w:val="none"/>
          <w:lang w:val="en-US" w:eastAsia="zh-CN"/>
        </w:rPr>
        <w:sectPr>
          <w:footerReference r:id="rId7"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start="1"/>
          <w:cols w:space="720" w:num="1"/>
          <w:docGrid w:type="lines" w:linePitch="312" w:charSpace="0"/>
        </w:sectPr>
      </w:pPr>
    </w:p>
    <w:p>
      <w:pPr>
        <w:pStyle w:val="3"/>
        <w:keepLines/>
        <w:widowControl w:val="0"/>
        <w:wordWrap/>
        <w:adjustRightInd/>
        <w:snapToGrid/>
        <w:ind w:firstLine="0" w:firstLineChars="0"/>
        <w:jc w:val="left"/>
        <w:textAlignment w:val="auto"/>
        <w:outlineLvl w:val="0"/>
        <w:rPr>
          <w:rFonts w:hint="default" w:ascii="Times New Roman" w:hAnsi="Times New Roman" w:cs="Times New Roman"/>
          <w:b w:val="0"/>
          <w:bCs w:val="0"/>
          <w:color w:val="auto"/>
          <w:kern w:val="2"/>
          <w:sz w:val="32"/>
          <w:szCs w:val="32"/>
          <w:highlight w:val="none"/>
          <w:lang w:val="en-US" w:eastAsia="zh-CN" w:bidi="ar-SA"/>
        </w:rPr>
      </w:pPr>
      <w:bookmarkStart w:id="103" w:name="_Toc31481"/>
      <w:bookmarkStart w:id="104" w:name="_Toc26619"/>
      <w:bookmarkStart w:id="105" w:name="_Toc5858"/>
      <w:bookmarkStart w:id="106" w:name="_Toc28685"/>
      <w:r>
        <w:rPr>
          <w:rFonts w:hint="default" w:ascii="Times New Roman" w:hAnsi="Times New Roman" w:eastAsia="黑体" w:cs="Times New Roman"/>
          <w:b w:val="0"/>
          <w:bCs w:val="0"/>
          <w:color w:val="auto"/>
          <w:kern w:val="2"/>
          <w:sz w:val="32"/>
          <w:szCs w:val="32"/>
          <w:highlight w:val="none"/>
          <w:lang w:val="en-US" w:eastAsia="zh-CN" w:bidi="ar-SA"/>
        </w:rPr>
        <w:t>附表1</w:t>
      </w:r>
      <w:bookmarkEnd w:id="103"/>
    </w:p>
    <w:p>
      <w:pPr>
        <w:pStyle w:val="3"/>
        <w:keepLines/>
        <w:widowControl w:val="0"/>
        <w:wordWrap/>
        <w:adjustRightInd/>
        <w:snapToGrid/>
        <w:ind w:firstLine="0" w:firstLineChars="0"/>
        <w:jc w:val="center"/>
        <w:textAlignment w:val="auto"/>
        <w:outlineLvl w:val="0"/>
        <w:rPr>
          <w:rFonts w:hint="default" w:ascii="Times New Roman" w:hAnsi="Times New Roman" w:eastAsia="黑体" w:cs="Times New Roman"/>
          <w:b w:val="0"/>
          <w:bCs w:val="0"/>
          <w:color w:val="auto"/>
          <w:kern w:val="2"/>
          <w:sz w:val="36"/>
          <w:szCs w:val="36"/>
          <w:highlight w:val="none"/>
          <w:lang w:val="en-US" w:eastAsia="zh-CN" w:bidi="ar-SA"/>
        </w:rPr>
      </w:pPr>
      <w:bookmarkStart w:id="107" w:name="_Toc14632"/>
      <w:r>
        <w:rPr>
          <w:rFonts w:hint="default" w:ascii="Times New Roman" w:hAnsi="Times New Roman" w:eastAsia="黑体" w:cs="Times New Roman"/>
          <w:b w:val="0"/>
          <w:bCs w:val="0"/>
          <w:color w:val="auto"/>
          <w:kern w:val="2"/>
          <w:sz w:val="36"/>
          <w:szCs w:val="36"/>
          <w:highlight w:val="none"/>
          <w:lang w:val="en-US" w:eastAsia="zh-CN" w:bidi="ar-SA"/>
        </w:rPr>
        <w:t>山西省已建生活垃圾焚烧项目表</w:t>
      </w:r>
      <w:bookmarkEnd w:id="104"/>
      <w:bookmarkEnd w:id="105"/>
      <w:bookmarkEnd w:id="106"/>
      <w:bookmarkEnd w:id="107"/>
    </w:p>
    <w:p>
      <w:pPr>
        <w:jc w:val="righ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单位：吨/日、兆瓦</w:t>
      </w:r>
    </w:p>
    <w:tbl>
      <w:tblPr>
        <w:tblStyle w:val="1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2"/>
        <w:gridCol w:w="457"/>
        <w:gridCol w:w="1622"/>
        <w:gridCol w:w="946"/>
        <w:gridCol w:w="955"/>
        <w:gridCol w:w="797"/>
        <w:gridCol w:w="825"/>
        <w:gridCol w:w="24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序号</w:t>
            </w:r>
          </w:p>
        </w:tc>
        <w:tc>
          <w:tcPr>
            <w:tcW w:w="45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地市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项目名称</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建设</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地点</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并网</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时间</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处理能力</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装机规模</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现状及拟新增</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覆盖范围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909" w:type="dxa"/>
            <w:gridSpan w:val="2"/>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合计</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18360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382</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457" w:type="dxa"/>
            <w:vMerge w:val="restart"/>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太原市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太原市生活垃圾焚烧发电BOT项目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阳曲县</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2020.9</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1800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30</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现状：尖草坪区、杏花岭区、万柏林区、阳曲县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太原市循环经济环卫产业示范基地生活垃圾焚烧发电BOT项目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清徐县</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2020.7</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3000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现状：小店区、迎泽区、晋源区、清徐县</w:t>
            </w:r>
          </w:p>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拟新增：古交市、娄烦县、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5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大同富乔生活垃圾焚烧发电项目</w:t>
            </w:r>
            <w:r>
              <w:rPr>
                <w:rFonts w:hint="default" w:ascii="Times New Roman" w:hAnsi="Times New Roman" w:eastAsia="仿宋" w:cs="Times New Roman"/>
                <w:color w:val="auto"/>
                <w:sz w:val="21"/>
                <w:szCs w:val="21"/>
                <w:highlight w:val="none"/>
                <w:vertAlign w:val="superscript"/>
                <w:lang w:val="en-US" w:eastAsia="zh-CN"/>
              </w:rPr>
              <w:t>1</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云冈区</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2009.1</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30</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现状：平城区、云冈区、新荣区、云州区</w:t>
            </w:r>
          </w:p>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拟新增：左云县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5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阳泉市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阳泉垃圾焚烧发电工程项目（一期）</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阳泉市</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2020.5</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1100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现状：城区、矿区、郊区</w:t>
            </w:r>
          </w:p>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拟新增：盂县、平定县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45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长治市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环境公司长治市主城区生活垃圾无害化处理项目（一期）</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潞州区</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2020.1</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18</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现状：潞州区、上党区、潞城区、屯留区、平顺县、壶关县、襄垣县</w:t>
            </w:r>
          </w:p>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拟新增：黎城县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p>
        </w:tc>
        <w:tc>
          <w:tcPr>
            <w:tcW w:w="45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晋城市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晋城市生活垃圾焚烧发电项目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泽州县</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2021.12</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现状：城区、泽州县、高平市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w:t>
            </w:r>
          </w:p>
        </w:tc>
        <w:tc>
          <w:tcPr>
            <w:tcW w:w="457" w:type="dxa"/>
            <w:vMerge w:val="restart"/>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朔州市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朔州南山环境能源项目（生活垃圾焚烧发电项目和餐厨垃圾处理项目）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朔城区</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2023.3</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18</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现状：</w:t>
            </w:r>
            <w:r>
              <w:rPr>
                <w:rFonts w:hint="default" w:ascii="Times New Roman" w:hAnsi="Times New Roman" w:eastAsia="仿宋" w:cs="Times New Roman"/>
                <w:color w:val="auto"/>
                <w:sz w:val="21"/>
                <w:szCs w:val="21"/>
                <w:highlight w:val="none"/>
              </w:rPr>
              <w:t>朔城区、平鲁区</w:t>
            </w:r>
          </w:p>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拟新增：右玉县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w:t>
            </w: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怀仁垃圾焚烧发电项目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怀仁市</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2022.8</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18</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现状：怀仁市、应县、山阴县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w:t>
            </w:r>
          </w:p>
        </w:tc>
        <w:tc>
          <w:tcPr>
            <w:tcW w:w="457" w:type="dxa"/>
            <w:vMerge w:val="restart"/>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晋中市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晋中市城区生活垃圾焚烧发电PPP项目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榆次区</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2021.12</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21</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现状：榆次区、祁县</w:t>
            </w:r>
          </w:p>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拟新增：太谷区、寿阳县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987"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介休市城市生活垃圾2×6MW焚烧发电项目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介休市</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2009.2</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现状：介休市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947"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11</w:t>
            </w: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灵石县生活垃圾焚烧发电</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灵石县</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2014.9</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现状：灵石县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12</w:t>
            </w:r>
          </w:p>
        </w:tc>
        <w:tc>
          <w:tcPr>
            <w:tcW w:w="457" w:type="dxa"/>
            <w:vMerge w:val="restart"/>
            <w:tcBorders>
              <w:top w:val="single" w:color="000000" w:sz="4" w:space="0"/>
              <w:left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运城市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运城市生活垃圾焚烧发电</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夏县</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2023.2</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24</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盐湖区、夏县、平陆县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13</w:t>
            </w:r>
          </w:p>
        </w:tc>
        <w:tc>
          <w:tcPr>
            <w:tcW w:w="457" w:type="dxa"/>
            <w:vMerge w:val="continue"/>
            <w:tcBorders>
              <w:left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河津市生活垃圾综合处理</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河津市</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2021.12</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现状：河津市</w:t>
            </w:r>
          </w:p>
          <w:p>
            <w:pPr>
              <w:pStyle w:val="23"/>
              <w:widowControl w:val="0"/>
              <w:wordWrap/>
              <w:adjustRightInd/>
              <w:snapToGrid w:val="0"/>
              <w:spacing w:line="240" w:lineRule="atLeast"/>
              <w:ind w:firstLine="0" w:firstLineChars="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拟新增：稷山县、新绛县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14</w:t>
            </w:r>
          </w:p>
        </w:tc>
        <w:tc>
          <w:tcPr>
            <w:tcW w:w="457" w:type="dxa"/>
            <w:vMerge w:val="continue"/>
            <w:tcBorders>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永济垃圾焚烧发电项目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永济市</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2021.6</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现状：永济市</w:t>
            </w:r>
          </w:p>
          <w:p>
            <w:pPr>
              <w:pStyle w:val="23"/>
              <w:widowControl w:val="0"/>
              <w:wordWrap/>
              <w:adjustRightInd/>
              <w:snapToGrid w:val="0"/>
              <w:spacing w:line="240" w:lineRule="atLeast"/>
              <w:ind w:firstLine="0" w:firstLineChars="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拟新增：临猗县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15</w:t>
            </w:r>
          </w:p>
        </w:tc>
        <w:tc>
          <w:tcPr>
            <w:tcW w:w="45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忻州市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忻州市生活垃圾焚烧发电2×12MW项目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忻府区</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2013.12</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24</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现状：忻府区、定襄县</w:t>
            </w:r>
          </w:p>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拟新增：宁武县、静乐县、代县、繁峙县、五台县、五台山风景区、原平市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16</w:t>
            </w:r>
          </w:p>
        </w:tc>
        <w:tc>
          <w:tcPr>
            <w:tcW w:w="457" w:type="dxa"/>
            <w:vMerge w:val="restart"/>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临汾市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临汾市环境产业园区生活垃圾焚烧发电及餐厨垃圾处理项目（一期）</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尧都区</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2022.5</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现状：尧都区、襄汾县、浮山县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17</w:t>
            </w: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临汾市民生生活垃圾处理项目</w:t>
            </w:r>
            <w:r>
              <w:rPr>
                <w:rFonts w:hint="default" w:ascii="Times New Roman" w:hAnsi="Times New Roman" w:eastAsia="仿宋" w:cs="Times New Roman"/>
                <w:color w:val="auto"/>
                <w:sz w:val="21"/>
                <w:szCs w:val="21"/>
                <w:highlight w:val="none"/>
                <w:vertAlign w:val="superscript"/>
                <w:lang w:val="en-US" w:eastAsia="zh-CN"/>
              </w:rPr>
              <w:t>2</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洪洞县</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360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现状：洪洞县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18</w:t>
            </w:r>
          </w:p>
        </w:tc>
        <w:tc>
          <w:tcPr>
            <w:tcW w:w="457" w:type="dxa"/>
            <w:vMerge w:val="restart"/>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吕梁市</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吕梁市生活垃圾焚烧发电和餐厨垃圾处理项目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柳林县</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 xml:space="preserve">2022.10 </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现状：离石区、柳林县、方山县、中阳县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tblHeader/>
          <w:jc w:val="center"/>
        </w:trPr>
        <w:tc>
          <w:tcPr>
            <w:tcW w:w="45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19</w:t>
            </w: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汾阳市生活垃圾焚烧发电</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w:t>
            </w:r>
          </w:p>
        </w:tc>
        <w:tc>
          <w:tcPr>
            <w:tcW w:w="946"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汾阳市</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2014.5</w:t>
            </w:r>
          </w:p>
        </w:tc>
        <w:tc>
          <w:tcPr>
            <w:tcW w:w="797"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23"/>
              <w:widowControl w:val="0"/>
              <w:wordWrap/>
              <w:adjustRightInd/>
              <w:snapToGrid w:val="0"/>
              <w:spacing w:line="240" w:lineRule="atLeast"/>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现状：汾阳市、交城县、文水县、孝义市部分区域</w:t>
            </w:r>
          </w:p>
        </w:tc>
      </w:tr>
    </w:tbl>
    <w:p>
      <w:pPr>
        <w:widowControl w:val="0"/>
        <w:wordWrap/>
        <w:adjustRightInd/>
        <w:snapToGrid/>
        <w:spacing w:line="360" w:lineRule="auto"/>
        <w:ind w:left="0" w:leftChars="0" w:right="0" w:firstLine="0" w:firstLineChars="0"/>
        <w:jc w:val="left"/>
        <w:textAlignment w:val="auto"/>
        <w:outlineLvl w:val="9"/>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注：1.大同富乔垃圾焚烧三期扩容项目建成投产后，原装置协同处置干化污泥、农林废弃物，处理能力1000吨/日，其中生活垃圾600吨/日。</w:t>
      </w:r>
    </w:p>
    <w:p>
      <w:pPr>
        <w:widowControl w:val="0"/>
        <w:wordWrap/>
        <w:adjustRightInd/>
        <w:snapToGrid/>
        <w:spacing w:line="360" w:lineRule="auto"/>
        <w:ind w:left="0" w:leftChars="0" w:right="0" w:firstLine="440" w:firstLineChars="200"/>
        <w:jc w:val="left"/>
        <w:textAlignment w:val="auto"/>
        <w:outlineLvl w:val="9"/>
        <w:rPr>
          <w:rFonts w:hint="default" w:ascii="Times New Roman" w:hAnsi="Times New Roman" w:eastAsia="仿宋" w:cs="Times New Roman"/>
          <w:b/>
          <w:bCs/>
          <w:color w:val="auto"/>
          <w:kern w:val="2"/>
          <w:sz w:val="32"/>
          <w:szCs w:val="24"/>
          <w:highlight w:val="none"/>
          <w:lang w:val="en-US" w:eastAsia="zh-CN" w:bidi="ar-SA"/>
        </w:rPr>
      </w:pPr>
      <w:r>
        <w:rPr>
          <w:rFonts w:hint="default" w:ascii="Times New Roman" w:hAnsi="Times New Roman" w:eastAsia="仿宋" w:cs="Times New Roman"/>
          <w:color w:val="auto"/>
          <w:sz w:val="22"/>
          <w:szCs w:val="22"/>
          <w:highlight w:val="none"/>
          <w:lang w:val="en-US" w:eastAsia="zh-CN"/>
        </w:rPr>
        <w:t>2.焚烧不发电，洪洞县生活垃圾焚烧发电项目建成投产后关停。</w:t>
      </w:r>
    </w:p>
    <w:p>
      <w:pPr>
        <w:pStyle w:val="3"/>
        <w:keepLines/>
        <w:widowControl w:val="0"/>
        <w:wordWrap/>
        <w:adjustRightInd/>
        <w:snapToGrid/>
        <w:ind w:firstLine="0" w:firstLineChars="0"/>
        <w:jc w:val="center"/>
        <w:textAlignment w:val="auto"/>
        <w:outlineLvl w:val="0"/>
        <w:rPr>
          <w:rFonts w:hint="default" w:ascii="Times New Roman" w:hAnsi="Times New Roman" w:eastAsia="仿宋" w:cs="Times New Roman"/>
          <w:b/>
          <w:bCs/>
          <w:color w:val="auto"/>
          <w:kern w:val="2"/>
          <w:sz w:val="32"/>
          <w:szCs w:val="24"/>
          <w:highlight w:val="none"/>
          <w:lang w:val="en-US" w:eastAsia="zh-CN" w:bidi="ar-SA"/>
        </w:rPr>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charSpace="0"/>
        </w:sectPr>
      </w:pPr>
      <w:bookmarkStart w:id="108" w:name="_Toc15271"/>
      <w:bookmarkStart w:id="109" w:name="_Toc26215"/>
      <w:bookmarkStart w:id="110" w:name="_Toc8003"/>
    </w:p>
    <w:p>
      <w:pPr>
        <w:pStyle w:val="3"/>
        <w:keepLines/>
        <w:widowControl w:val="0"/>
        <w:wordWrap/>
        <w:adjustRightInd/>
        <w:snapToGrid/>
        <w:ind w:firstLine="0" w:firstLineChars="0"/>
        <w:jc w:val="left"/>
        <w:textAlignment w:val="auto"/>
        <w:outlineLvl w:val="0"/>
        <w:rPr>
          <w:rFonts w:hint="default" w:ascii="Times New Roman" w:hAnsi="Times New Roman" w:eastAsia="黑体" w:cs="Times New Roman"/>
          <w:b w:val="0"/>
          <w:bCs w:val="0"/>
          <w:color w:val="auto"/>
          <w:kern w:val="2"/>
          <w:sz w:val="36"/>
          <w:szCs w:val="36"/>
          <w:highlight w:val="none"/>
          <w:lang w:val="en-US" w:eastAsia="zh-CN" w:bidi="ar-SA"/>
        </w:rPr>
      </w:pPr>
      <w:bookmarkStart w:id="111" w:name="_Toc8948"/>
      <w:r>
        <w:rPr>
          <w:rFonts w:hint="default" w:ascii="Times New Roman" w:hAnsi="Times New Roman" w:eastAsia="黑体" w:cs="Times New Roman"/>
          <w:b w:val="0"/>
          <w:bCs w:val="0"/>
          <w:color w:val="auto"/>
          <w:kern w:val="2"/>
          <w:sz w:val="32"/>
          <w:szCs w:val="32"/>
          <w:highlight w:val="none"/>
          <w:lang w:val="en-US" w:eastAsia="zh-CN" w:bidi="ar-SA"/>
        </w:rPr>
        <w:fldChar w:fldCharType="begin"/>
      </w:r>
      <w:r>
        <w:rPr>
          <w:rFonts w:hint="default" w:ascii="Times New Roman" w:hAnsi="Times New Roman" w:eastAsia="黑体" w:cs="Times New Roman"/>
          <w:b w:val="0"/>
          <w:bCs w:val="0"/>
          <w:color w:val="auto"/>
          <w:kern w:val="2"/>
          <w:sz w:val="32"/>
          <w:szCs w:val="32"/>
          <w:highlight w:val="none"/>
          <w:lang w:val="en-US" w:eastAsia="zh-CN" w:bidi="ar-SA"/>
        </w:rPr>
        <w:instrText xml:space="preserve"> HYPERLINK \l "_Toc36138641" </w:instrText>
      </w:r>
      <w:r>
        <w:rPr>
          <w:rFonts w:hint="default" w:ascii="Times New Roman" w:hAnsi="Times New Roman" w:eastAsia="黑体" w:cs="Times New Roman"/>
          <w:b w:val="0"/>
          <w:bCs w:val="0"/>
          <w:color w:val="auto"/>
          <w:kern w:val="2"/>
          <w:sz w:val="32"/>
          <w:szCs w:val="32"/>
          <w:highlight w:val="none"/>
          <w:lang w:val="en-US" w:eastAsia="zh-CN" w:bidi="ar-SA"/>
        </w:rPr>
        <w:fldChar w:fldCharType="separate"/>
      </w:r>
      <w:r>
        <w:rPr>
          <w:rFonts w:hint="default" w:ascii="Times New Roman" w:hAnsi="Times New Roman" w:eastAsia="黑体" w:cs="Times New Roman"/>
          <w:b w:val="0"/>
          <w:bCs w:val="0"/>
          <w:color w:val="auto"/>
          <w:kern w:val="2"/>
          <w:sz w:val="32"/>
          <w:szCs w:val="32"/>
          <w:highlight w:val="none"/>
          <w:lang w:val="en-US" w:eastAsia="zh-CN" w:bidi="ar-SA"/>
        </w:rPr>
        <w:t>附表2</w:t>
      </w:r>
      <w:r>
        <w:rPr>
          <w:rFonts w:hint="default" w:ascii="Times New Roman" w:hAnsi="Times New Roman" w:eastAsia="黑体" w:cs="Times New Roman"/>
          <w:b w:val="0"/>
          <w:bCs w:val="0"/>
          <w:color w:val="auto"/>
          <w:kern w:val="2"/>
          <w:sz w:val="32"/>
          <w:szCs w:val="32"/>
          <w:highlight w:val="none"/>
          <w:lang w:val="en-US" w:eastAsia="zh-CN" w:bidi="ar-SA"/>
        </w:rPr>
        <w:fldChar w:fldCharType="end"/>
      </w:r>
      <w:bookmarkEnd w:id="111"/>
    </w:p>
    <w:p>
      <w:pPr>
        <w:pStyle w:val="3"/>
        <w:keepLines/>
        <w:widowControl w:val="0"/>
        <w:wordWrap/>
        <w:adjustRightInd/>
        <w:snapToGrid/>
        <w:ind w:firstLine="0" w:firstLineChars="0"/>
        <w:jc w:val="center"/>
        <w:textAlignment w:val="auto"/>
        <w:outlineLvl w:val="0"/>
        <w:rPr>
          <w:rFonts w:hint="default" w:ascii="Times New Roman" w:hAnsi="Times New Roman" w:eastAsia="黑体" w:cs="Times New Roman"/>
          <w:b w:val="0"/>
          <w:bCs w:val="0"/>
          <w:color w:val="auto"/>
          <w:kern w:val="2"/>
          <w:sz w:val="36"/>
          <w:szCs w:val="36"/>
          <w:highlight w:val="none"/>
          <w:lang w:val="en-US" w:eastAsia="zh-CN" w:bidi="ar-SA"/>
        </w:rPr>
      </w:pPr>
      <w:bookmarkStart w:id="112" w:name="_Toc11317"/>
      <w:r>
        <w:rPr>
          <w:rFonts w:hint="default" w:ascii="Times New Roman" w:hAnsi="Times New Roman" w:eastAsia="黑体" w:cs="Times New Roman"/>
          <w:b w:val="0"/>
          <w:bCs w:val="0"/>
          <w:color w:val="auto"/>
          <w:kern w:val="2"/>
          <w:sz w:val="36"/>
          <w:szCs w:val="36"/>
          <w:highlight w:val="none"/>
          <w:lang w:val="en-US" w:eastAsia="zh-CN" w:bidi="ar-SA"/>
        </w:rPr>
        <w:t>山西省2023—2025年生活垃圾焚烧项目表</w:t>
      </w:r>
      <w:bookmarkEnd w:id="108"/>
      <w:bookmarkEnd w:id="109"/>
      <w:bookmarkEnd w:id="110"/>
      <w:bookmarkEnd w:id="112"/>
    </w:p>
    <w:p>
      <w:pPr>
        <w:jc w:val="right"/>
        <w:rPr>
          <w:rFonts w:hint="default" w:ascii="Times New Roman" w:hAnsi="Times New Roman" w:cs="Times New Roman"/>
          <w:lang w:val="en-US" w:eastAsia="zh-CN"/>
        </w:rPr>
      </w:pPr>
      <w:r>
        <w:rPr>
          <w:rFonts w:hint="default" w:ascii="Times New Roman" w:hAnsi="Times New Roman" w:eastAsia="仿宋" w:cs="Times New Roman"/>
          <w:color w:val="auto"/>
          <w:sz w:val="24"/>
          <w:szCs w:val="24"/>
          <w:highlight w:val="none"/>
          <w:lang w:val="en-US" w:eastAsia="zh-CN"/>
        </w:rPr>
        <w:t>单位：吨/日、兆瓦</w:t>
      </w:r>
    </w:p>
    <w:tbl>
      <w:tblPr>
        <w:tblStyle w:val="18"/>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424"/>
        <w:gridCol w:w="1653"/>
        <w:gridCol w:w="968"/>
        <w:gridCol w:w="774"/>
        <w:gridCol w:w="825"/>
        <w:gridCol w:w="1559"/>
        <w:gridCol w:w="944"/>
        <w:gridCol w:w="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序号</w:t>
            </w:r>
          </w:p>
        </w:tc>
        <w:tc>
          <w:tcPr>
            <w:tcW w:w="424"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地市</w:t>
            </w:r>
          </w:p>
        </w:tc>
        <w:tc>
          <w:tcPr>
            <w:tcW w:w="1653"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项目名称</w:t>
            </w:r>
          </w:p>
        </w:tc>
        <w:tc>
          <w:tcPr>
            <w:tcW w:w="968"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建设</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地点</w:t>
            </w:r>
          </w:p>
        </w:tc>
        <w:tc>
          <w:tcPr>
            <w:tcW w:w="774"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处理能力</w:t>
            </w:r>
          </w:p>
        </w:tc>
        <w:tc>
          <w:tcPr>
            <w:tcW w:w="825"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装机规模</w:t>
            </w:r>
          </w:p>
        </w:tc>
        <w:tc>
          <w:tcPr>
            <w:tcW w:w="1559" w:type="dxa"/>
            <w:vMerge w:val="restart"/>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拟覆盖范围</w:t>
            </w:r>
          </w:p>
        </w:tc>
        <w:tc>
          <w:tcPr>
            <w:tcW w:w="1854" w:type="dxa"/>
            <w:gridSpan w:val="2"/>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预计时间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968"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77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825"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559" w:type="dxa"/>
            <w:vMerge w:val="continue"/>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p>
        </w:tc>
        <w:tc>
          <w:tcPr>
            <w:tcW w:w="944"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开工</w:t>
            </w:r>
          </w:p>
        </w:tc>
        <w:tc>
          <w:tcPr>
            <w:tcW w:w="910"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投产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889" w:type="dxa"/>
            <w:gridSpan w:val="2"/>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合计</w:t>
            </w: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9930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240.5</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424"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大同市</w:t>
            </w: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大同富乔生活垃圾焚烧发电</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二期扩容项目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云冈区</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平城区、云冈区、新荣区、云州区、左云县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2022.4</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大同恒山区（浑源）生活垃圾</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焚烧发电项目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浑源县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浑源县、灵丘县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2023.9</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大同恒山区（广灵）生活垃圾</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焚烧发电及供热项目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广灵县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阳高县、天镇县、广灵县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2023.12</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4</w:t>
            </w:r>
          </w:p>
        </w:tc>
        <w:tc>
          <w:tcPr>
            <w:tcW w:w="42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阳泉市</w:t>
            </w:r>
          </w:p>
        </w:tc>
        <w:tc>
          <w:tcPr>
            <w:tcW w:w="1653"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阳泉垃圾焚烧发电工程项目（二期）</w:t>
            </w:r>
          </w:p>
        </w:tc>
        <w:tc>
          <w:tcPr>
            <w:tcW w:w="968"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阳泉市</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城区、矿区、郊区、盂县、平定县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2023.12</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5</w:t>
            </w:r>
          </w:p>
        </w:tc>
        <w:tc>
          <w:tcPr>
            <w:tcW w:w="42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长治市</w:t>
            </w: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长治市西南部垃圾焚烧发电项目（长子县）</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长子县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长子县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2023.5</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6</w:t>
            </w:r>
          </w:p>
        </w:tc>
        <w:tc>
          <w:tcPr>
            <w:tcW w:w="424"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晋城市</w:t>
            </w:r>
          </w:p>
        </w:tc>
        <w:tc>
          <w:tcPr>
            <w:tcW w:w="1653"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陵川自供能热裂解项目</w:t>
            </w:r>
          </w:p>
        </w:tc>
        <w:tc>
          <w:tcPr>
            <w:tcW w:w="968"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陵川县</w:t>
            </w:r>
          </w:p>
        </w:tc>
        <w:tc>
          <w:tcPr>
            <w:tcW w:w="774"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200</w:t>
            </w:r>
          </w:p>
        </w:tc>
        <w:tc>
          <w:tcPr>
            <w:tcW w:w="82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559" w:type="dxa"/>
            <w:tcBorders>
              <w:tl2br w:val="nil"/>
              <w:tr2bl w:val="nil"/>
            </w:tcBorders>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陵川县</w:t>
            </w:r>
          </w:p>
        </w:tc>
        <w:tc>
          <w:tcPr>
            <w:tcW w:w="944"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2023.8</w:t>
            </w:r>
          </w:p>
        </w:tc>
        <w:tc>
          <w:tcPr>
            <w:tcW w:w="910"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7</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沁水县生活垃圾资源化处理项目</w:t>
            </w:r>
          </w:p>
        </w:tc>
        <w:tc>
          <w:tcPr>
            <w:tcW w:w="968"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沁水县</w:t>
            </w:r>
          </w:p>
        </w:tc>
        <w:tc>
          <w:tcPr>
            <w:tcW w:w="774"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300</w:t>
            </w:r>
          </w:p>
        </w:tc>
        <w:tc>
          <w:tcPr>
            <w:tcW w:w="82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559" w:type="dxa"/>
            <w:tcBorders>
              <w:tl2br w:val="nil"/>
              <w:tr2bl w:val="nil"/>
            </w:tcBorders>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沁水县</w:t>
            </w:r>
          </w:p>
        </w:tc>
        <w:tc>
          <w:tcPr>
            <w:tcW w:w="944"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2019.12</w:t>
            </w:r>
          </w:p>
        </w:tc>
        <w:tc>
          <w:tcPr>
            <w:tcW w:w="910"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kern w:val="2"/>
                <w:sz w:val="21"/>
                <w:szCs w:val="21"/>
                <w:highlight w:val="none"/>
                <w:lang w:val="en-US" w:eastAsia="zh-CN" w:bidi="ar-SA"/>
              </w:rPr>
              <w:t>8</w:t>
            </w:r>
          </w:p>
        </w:tc>
        <w:tc>
          <w:tcPr>
            <w:tcW w:w="42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晋中市</w:t>
            </w: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平遥县生活垃圾焚烧发电项目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平遥县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平遥县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2023.5</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kern w:val="2"/>
                <w:sz w:val="21"/>
                <w:szCs w:val="21"/>
                <w:highlight w:val="none"/>
                <w:lang w:val="en-US" w:eastAsia="zh-CN" w:bidi="ar-SA"/>
              </w:rPr>
              <w:t>9</w:t>
            </w:r>
          </w:p>
        </w:tc>
        <w:tc>
          <w:tcPr>
            <w:tcW w:w="424"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运城市</w:t>
            </w: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闻喜县垃圾焚烧发电工程</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闻喜县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闻喜县、绛县、垣曲县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2022.12</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kern w:val="2"/>
                <w:sz w:val="21"/>
                <w:szCs w:val="21"/>
                <w:highlight w:val="none"/>
                <w:lang w:val="en-US" w:eastAsia="zh-CN" w:bidi="ar-SA"/>
              </w:rPr>
              <w:t>10</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芮城县300吨/日生活垃圾</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焚烧及供汽项目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芮城县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芮城县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2023.8</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11</w:t>
            </w:r>
          </w:p>
        </w:tc>
        <w:tc>
          <w:tcPr>
            <w:tcW w:w="424"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忻州市</w:t>
            </w: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忻州市生活垃圾焚烧热电联产二期（一期）项目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经济开发区</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18</w:t>
            </w:r>
          </w:p>
        </w:tc>
        <w:tc>
          <w:tcPr>
            <w:tcW w:w="1559" w:type="dxa"/>
            <w:vMerge w:val="restart"/>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忻府区、原平市、定襄县、宁武县、静乐县、代县、繁峙县、五台县、五台山风景区</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2021.12</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12</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忻州市生活垃圾焚烧热电联产二期（二期）项目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经济开发区</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18</w:t>
            </w:r>
          </w:p>
        </w:tc>
        <w:tc>
          <w:tcPr>
            <w:tcW w:w="1559" w:type="dxa"/>
            <w:vMerge w:val="continue"/>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2023.7</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13</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五寨县垃圾焚烧发电项目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五寨县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五寨县、神池县、岢岚县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2023.5</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kern w:val="2"/>
                <w:sz w:val="21"/>
                <w:szCs w:val="21"/>
                <w:highlight w:val="none"/>
                <w:lang w:val="en-US" w:eastAsia="zh-CN" w:bidi="ar-SA"/>
              </w:rPr>
              <w:t>14</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保德县垃圾焚烧发电项目</w:t>
            </w:r>
          </w:p>
        </w:tc>
        <w:tc>
          <w:tcPr>
            <w:tcW w:w="968"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保德县</w:t>
            </w:r>
          </w:p>
        </w:tc>
        <w:tc>
          <w:tcPr>
            <w:tcW w:w="774"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500</w:t>
            </w:r>
          </w:p>
        </w:tc>
        <w:tc>
          <w:tcPr>
            <w:tcW w:w="82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12</w:t>
            </w:r>
          </w:p>
        </w:tc>
        <w:tc>
          <w:tcPr>
            <w:tcW w:w="1559" w:type="dxa"/>
            <w:tcBorders>
              <w:tl2br w:val="nil"/>
              <w:tr2bl w:val="nil"/>
            </w:tcBorders>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河曲县、保德县、偏关县</w:t>
            </w:r>
          </w:p>
        </w:tc>
        <w:tc>
          <w:tcPr>
            <w:tcW w:w="944"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2023.5</w:t>
            </w:r>
          </w:p>
        </w:tc>
        <w:tc>
          <w:tcPr>
            <w:tcW w:w="910"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2024.5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15</w:t>
            </w:r>
          </w:p>
        </w:tc>
        <w:tc>
          <w:tcPr>
            <w:tcW w:w="424"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临汾市</w:t>
            </w:r>
          </w:p>
        </w:tc>
        <w:tc>
          <w:tcPr>
            <w:tcW w:w="1653"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临汾市环境产业园区生活垃圾焚烧发电及餐厨垃圾处理项目（二期）</w:t>
            </w:r>
          </w:p>
        </w:tc>
        <w:tc>
          <w:tcPr>
            <w:tcW w:w="968"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尧都区</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尧都区、襄汾县、浮山县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2023.12</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16</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洪洞县生活垃圾焚烧发电</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洪洞县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洪洞县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2023.1</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17</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侯马市垃圾焚烧发电项目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侯马市</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18</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侯马市、曲沃县、翼城县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2024.3</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18</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霍州市生活垃圾焚烧发电</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霍州市</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霍州市、古县、安泽县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2024.6</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kern w:val="2"/>
                <w:sz w:val="21"/>
                <w:szCs w:val="21"/>
                <w:highlight w:val="none"/>
                <w:lang w:val="en-US" w:eastAsia="zh-CN" w:bidi="ar-SA"/>
              </w:rPr>
              <w:t>19</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临汾市民生生活垃圾处理项目</w:t>
            </w:r>
            <w:r>
              <w:rPr>
                <w:rFonts w:hint="default" w:ascii="Times New Roman" w:hAnsi="Times New Roman" w:eastAsia="仿宋" w:cs="Times New Roman"/>
                <w:color w:val="auto"/>
                <w:sz w:val="21"/>
                <w:szCs w:val="21"/>
                <w:highlight w:val="none"/>
                <w:vertAlign w:val="superscript"/>
                <w:lang w:val="en-US" w:eastAsia="zh-CN"/>
              </w:rPr>
              <w:t>1</w:t>
            </w:r>
            <w:r>
              <w:rPr>
                <w:rFonts w:hint="default" w:ascii="Times New Roman" w:hAnsi="Times New Roman" w:eastAsia="仿宋" w:cs="Times New Roman"/>
                <w:color w:val="auto"/>
                <w:sz w:val="21"/>
                <w:szCs w:val="21"/>
                <w:highlight w:val="none"/>
                <w:lang w:val="en-US" w:eastAsia="zh-CN"/>
              </w:rPr>
              <w:t>（关停）</w:t>
            </w:r>
          </w:p>
        </w:tc>
        <w:tc>
          <w:tcPr>
            <w:tcW w:w="968"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洪洞县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-360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洪洞县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2023.1</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kern w:val="2"/>
                <w:sz w:val="21"/>
                <w:szCs w:val="21"/>
                <w:highlight w:val="none"/>
                <w:lang w:val="en-US" w:eastAsia="zh-CN" w:bidi="ar-SA"/>
              </w:rPr>
              <w:t>20</w:t>
            </w:r>
          </w:p>
        </w:tc>
        <w:tc>
          <w:tcPr>
            <w:tcW w:w="424"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吕梁市</w:t>
            </w: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吕梁市生活垃圾焚烧发电和</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餐厨垃圾处理项目（调整）</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柳林县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离石区、柳林县、</w:t>
            </w:r>
          </w:p>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方山县、中阳县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2022.2</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21</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汾阳市生活垃圾焚烧发电</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改造项目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汾阳市</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+250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汾阳市、交城县、文水县、孝义市部分区域</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2023.2</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22</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临县生活垃圾焚烧发电项目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7.5</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临县、岚县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2023.8</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23</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吕梁市中阳县工业园区生活垃圾焚烧协同处置工农业废弃物热电联产项目</w:t>
            </w:r>
          </w:p>
        </w:tc>
        <w:tc>
          <w:tcPr>
            <w:tcW w:w="96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中阳县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1000（其中生活垃圾500）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24</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石楼县、交口县、孝义市部分区域</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2023.8</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tblHeader/>
          <w:jc w:val="center"/>
        </w:trPr>
        <w:tc>
          <w:tcPr>
            <w:tcW w:w="46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24</w:t>
            </w:r>
          </w:p>
        </w:tc>
        <w:tc>
          <w:tcPr>
            <w:tcW w:w="424"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53" w:type="dxa"/>
            <w:tcBorders>
              <w:tl2br w:val="nil"/>
              <w:tr2bl w:val="nil"/>
            </w:tcBorders>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兴县生活垃圾裂解气化焚烧</w:t>
            </w:r>
          </w:p>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处置项目</w:t>
            </w:r>
          </w:p>
        </w:tc>
        <w:tc>
          <w:tcPr>
            <w:tcW w:w="968" w:type="dxa"/>
            <w:tcBorders>
              <w:tl2br w:val="nil"/>
              <w:tr2bl w:val="nil"/>
            </w:tcBorders>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兴县</w:t>
            </w:r>
          </w:p>
        </w:tc>
        <w:tc>
          <w:tcPr>
            <w:tcW w:w="77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240</w:t>
            </w:r>
          </w:p>
        </w:tc>
        <w:tc>
          <w:tcPr>
            <w:tcW w:w="8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559" w:type="dxa"/>
            <w:tcBorders>
              <w:tl2br w:val="nil"/>
              <w:tr2bl w:val="nil"/>
            </w:tcBorders>
            <w:vAlign w:val="center"/>
          </w:tcPr>
          <w:p>
            <w:pPr>
              <w:pStyle w:val="23"/>
              <w:widowControl w:val="0"/>
              <w:wordWrap/>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兴县</w:t>
            </w:r>
          </w:p>
        </w:tc>
        <w:tc>
          <w:tcPr>
            <w:tcW w:w="944"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2023.10</w:t>
            </w:r>
          </w:p>
        </w:tc>
        <w:tc>
          <w:tcPr>
            <w:tcW w:w="91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2024.10</w:t>
            </w:r>
          </w:p>
        </w:tc>
      </w:tr>
    </w:tbl>
    <w:p>
      <w:pPr>
        <w:widowControl w:val="0"/>
        <w:wordWrap/>
        <w:adjustRightInd/>
        <w:snapToGrid/>
        <w:ind w:firstLine="0" w:firstLineChars="0"/>
        <w:textAlignment w:val="auto"/>
        <w:rPr>
          <w:rFonts w:hint="default" w:ascii="Times New Roman" w:hAnsi="Times New Roman" w:eastAsia="仿宋" w:cs="Times New Roman"/>
          <w:b/>
          <w:bCs/>
          <w:color w:val="auto"/>
          <w:kern w:val="2"/>
          <w:sz w:val="32"/>
          <w:szCs w:val="24"/>
          <w:highlight w:val="none"/>
          <w:lang w:val="en-US" w:eastAsia="zh-CN" w:bidi="ar-SA"/>
        </w:rPr>
      </w:pPr>
      <w:r>
        <w:rPr>
          <w:rFonts w:hint="default" w:ascii="Times New Roman" w:hAnsi="Times New Roman" w:eastAsia="仿宋" w:cs="Times New Roman"/>
          <w:color w:val="auto"/>
          <w:sz w:val="22"/>
          <w:szCs w:val="22"/>
          <w:highlight w:val="none"/>
          <w:lang w:val="en-US" w:eastAsia="zh-CN"/>
        </w:rPr>
        <w:t>注：1.洪洞县生活垃圾焚烧发电项目建成投产后关停。</w:t>
      </w:r>
      <w:r>
        <w:rPr>
          <w:rFonts w:hint="default" w:ascii="Times New Roman" w:hAnsi="Times New Roman" w:eastAsia="仿宋" w:cs="Times New Roman"/>
          <w:b/>
          <w:bCs/>
          <w:color w:val="auto"/>
          <w:kern w:val="2"/>
          <w:sz w:val="32"/>
          <w:szCs w:val="24"/>
          <w:highlight w:val="none"/>
          <w:lang w:val="en-US" w:eastAsia="zh-CN" w:bidi="ar-SA"/>
        </w:rPr>
        <w:br w:type="page"/>
      </w:r>
    </w:p>
    <w:p>
      <w:pPr>
        <w:pStyle w:val="3"/>
        <w:ind w:left="0" w:leftChars="0" w:firstLine="0" w:firstLineChars="0"/>
        <w:jc w:val="left"/>
        <w:outlineLvl w:val="0"/>
        <w:rPr>
          <w:rFonts w:hint="default" w:ascii="Times New Roman" w:hAnsi="Times New Roman" w:eastAsia="仿宋" w:cs="Times New Roman"/>
          <w:b/>
          <w:bCs/>
          <w:color w:val="auto"/>
          <w:kern w:val="2"/>
          <w:sz w:val="32"/>
          <w:szCs w:val="24"/>
          <w:highlight w:val="none"/>
          <w:lang w:val="en-US" w:eastAsia="zh-CN" w:bidi="ar-SA"/>
        </w:rPr>
      </w:pPr>
      <w:bookmarkStart w:id="113" w:name="_Toc24950"/>
      <w:bookmarkStart w:id="114" w:name="_Toc30920"/>
      <w:bookmarkStart w:id="115" w:name="_Toc15532"/>
      <w:bookmarkStart w:id="116" w:name="_Toc3430"/>
      <w:r>
        <w:rPr>
          <w:rFonts w:hint="default" w:ascii="Times New Roman" w:hAnsi="Times New Roman" w:eastAsia="黑体" w:cs="Times New Roman"/>
          <w:b w:val="0"/>
          <w:bCs w:val="0"/>
          <w:color w:val="auto"/>
          <w:kern w:val="2"/>
          <w:sz w:val="32"/>
          <w:szCs w:val="32"/>
          <w:highlight w:val="none"/>
          <w:lang w:val="en-US" w:eastAsia="zh-CN" w:bidi="ar-SA"/>
        </w:rPr>
        <w:fldChar w:fldCharType="begin"/>
      </w:r>
      <w:r>
        <w:rPr>
          <w:rFonts w:hint="default" w:ascii="Times New Roman" w:hAnsi="Times New Roman" w:eastAsia="黑体" w:cs="Times New Roman"/>
          <w:b w:val="0"/>
          <w:bCs w:val="0"/>
          <w:color w:val="auto"/>
          <w:kern w:val="2"/>
          <w:sz w:val="32"/>
          <w:szCs w:val="32"/>
          <w:highlight w:val="none"/>
          <w:lang w:val="en-US" w:eastAsia="zh-CN" w:bidi="ar-SA"/>
        </w:rPr>
        <w:instrText xml:space="preserve"> HYPERLINK \l "_Toc36138642" </w:instrText>
      </w:r>
      <w:r>
        <w:rPr>
          <w:rFonts w:hint="default" w:ascii="Times New Roman" w:hAnsi="Times New Roman" w:eastAsia="黑体" w:cs="Times New Roman"/>
          <w:b w:val="0"/>
          <w:bCs w:val="0"/>
          <w:color w:val="auto"/>
          <w:kern w:val="2"/>
          <w:sz w:val="32"/>
          <w:szCs w:val="32"/>
          <w:highlight w:val="none"/>
          <w:lang w:val="en-US" w:eastAsia="zh-CN" w:bidi="ar-SA"/>
        </w:rPr>
        <w:fldChar w:fldCharType="separate"/>
      </w:r>
      <w:r>
        <w:rPr>
          <w:rFonts w:hint="default" w:ascii="Times New Roman" w:hAnsi="Times New Roman" w:eastAsia="黑体" w:cs="Times New Roman"/>
          <w:b w:val="0"/>
          <w:bCs w:val="0"/>
          <w:color w:val="auto"/>
          <w:kern w:val="2"/>
          <w:sz w:val="32"/>
          <w:szCs w:val="32"/>
          <w:highlight w:val="none"/>
          <w:lang w:val="en-US" w:eastAsia="zh-CN" w:bidi="ar-SA"/>
        </w:rPr>
        <w:t>附表3</w:t>
      </w:r>
      <w:r>
        <w:rPr>
          <w:rFonts w:hint="default" w:ascii="Times New Roman" w:hAnsi="Times New Roman" w:eastAsia="黑体" w:cs="Times New Roman"/>
          <w:b w:val="0"/>
          <w:bCs w:val="0"/>
          <w:color w:val="auto"/>
          <w:kern w:val="2"/>
          <w:sz w:val="32"/>
          <w:szCs w:val="32"/>
          <w:highlight w:val="none"/>
          <w:lang w:val="en-US" w:eastAsia="zh-CN" w:bidi="ar-SA"/>
        </w:rPr>
        <w:fldChar w:fldCharType="end"/>
      </w:r>
      <w:bookmarkEnd w:id="113"/>
    </w:p>
    <w:p>
      <w:pPr>
        <w:pStyle w:val="3"/>
        <w:keepLines/>
        <w:widowControl w:val="0"/>
        <w:wordWrap/>
        <w:adjustRightInd/>
        <w:snapToGrid/>
        <w:ind w:firstLine="0" w:firstLineChars="0"/>
        <w:jc w:val="center"/>
        <w:textAlignment w:val="auto"/>
        <w:outlineLvl w:val="0"/>
        <w:rPr>
          <w:rFonts w:hint="default" w:ascii="Times New Roman" w:hAnsi="Times New Roman" w:eastAsia="黑体" w:cs="Times New Roman"/>
          <w:b w:val="0"/>
          <w:bCs w:val="0"/>
          <w:color w:val="auto"/>
          <w:kern w:val="2"/>
          <w:sz w:val="36"/>
          <w:szCs w:val="36"/>
          <w:highlight w:val="none"/>
          <w:lang w:val="en-US" w:eastAsia="zh-CN" w:bidi="ar-SA"/>
        </w:rPr>
      </w:pPr>
      <w:bookmarkStart w:id="117" w:name="_Toc8154"/>
      <w:r>
        <w:rPr>
          <w:rFonts w:hint="default" w:ascii="Times New Roman" w:hAnsi="Times New Roman" w:eastAsia="黑体" w:cs="Times New Roman"/>
          <w:b w:val="0"/>
          <w:bCs w:val="0"/>
          <w:color w:val="auto"/>
          <w:kern w:val="2"/>
          <w:sz w:val="36"/>
          <w:szCs w:val="36"/>
          <w:highlight w:val="none"/>
          <w:lang w:val="en-US" w:eastAsia="zh-CN" w:bidi="ar-SA"/>
        </w:rPr>
        <w:t>山西省2026—2030年生活垃圾焚烧项目表</w:t>
      </w:r>
      <w:bookmarkEnd w:id="114"/>
      <w:bookmarkEnd w:id="115"/>
      <w:bookmarkEnd w:id="116"/>
      <w:bookmarkEnd w:id="117"/>
    </w:p>
    <w:p>
      <w:pPr>
        <w:jc w:val="right"/>
        <w:rPr>
          <w:rFonts w:hint="default" w:ascii="Times New Roman" w:hAnsi="Times New Roman" w:cs="Times New Roman"/>
          <w:lang w:val="en-US" w:eastAsia="zh-CN"/>
        </w:rPr>
      </w:pPr>
      <w:r>
        <w:rPr>
          <w:rFonts w:hint="default" w:ascii="Times New Roman" w:hAnsi="Times New Roman" w:eastAsia="仿宋" w:cs="Times New Roman"/>
          <w:color w:val="auto"/>
          <w:sz w:val="24"/>
          <w:szCs w:val="24"/>
          <w:highlight w:val="none"/>
          <w:lang w:val="en-US" w:eastAsia="zh-CN"/>
        </w:rPr>
        <w:t>单位：吨/日、兆瓦</w:t>
      </w:r>
    </w:p>
    <w:tbl>
      <w:tblPr>
        <w:tblStyle w:val="18"/>
        <w:tblW w:w="8522" w:type="dxa"/>
        <w:tblInd w:w="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5"/>
        <w:gridCol w:w="476"/>
        <w:gridCol w:w="1640"/>
        <w:gridCol w:w="917"/>
        <w:gridCol w:w="808"/>
        <w:gridCol w:w="725"/>
        <w:gridCol w:w="1800"/>
        <w:gridCol w:w="873"/>
        <w:gridCol w:w="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blHeader/>
        </w:trPr>
        <w:tc>
          <w:tcPr>
            <w:tcW w:w="345"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序号</w:t>
            </w:r>
          </w:p>
        </w:tc>
        <w:tc>
          <w:tcPr>
            <w:tcW w:w="476"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地市</w:t>
            </w:r>
          </w:p>
        </w:tc>
        <w:tc>
          <w:tcPr>
            <w:tcW w:w="1640"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项目名称</w:t>
            </w:r>
          </w:p>
        </w:tc>
        <w:tc>
          <w:tcPr>
            <w:tcW w:w="917"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建设</w:t>
            </w:r>
          </w:p>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地点</w:t>
            </w:r>
          </w:p>
        </w:tc>
        <w:tc>
          <w:tcPr>
            <w:tcW w:w="808"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处理能力</w:t>
            </w:r>
          </w:p>
        </w:tc>
        <w:tc>
          <w:tcPr>
            <w:tcW w:w="725"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装机规模</w:t>
            </w:r>
          </w:p>
        </w:tc>
        <w:tc>
          <w:tcPr>
            <w:tcW w:w="1800"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拟覆盖范围</w:t>
            </w:r>
          </w:p>
        </w:tc>
        <w:tc>
          <w:tcPr>
            <w:tcW w:w="1811" w:type="dxa"/>
            <w:gridSpan w:val="2"/>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预计时间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blHeader/>
        </w:trPr>
        <w:tc>
          <w:tcPr>
            <w:tcW w:w="345"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476"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40"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917"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808"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725"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800"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873" w:type="dxa"/>
            <w:tcBorders>
              <w:tl2br w:val="nil"/>
              <w:tr2bl w:val="nil"/>
            </w:tcBorders>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开工</w:t>
            </w:r>
          </w:p>
        </w:tc>
        <w:tc>
          <w:tcPr>
            <w:tcW w:w="938" w:type="dxa"/>
            <w:tcBorders>
              <w:tl2br w:val="nil"/>
              <w:tr2bl w:val="nil"/>
            </w:tcBorders>
            <w:vAlign w:val="center"/>
          </w:tcPr>
          <w:p>
            <w:pPr>
              <w:pStyle w:val="23"/>
              <w:widowControl w:val="0"/>
              <w:wordWrap/>
              <w:adjustRightInd/>
              <w:snapToGrid w:val="0"/>
              <w:spacing w:line="240" w:lineRule="atLeast"/>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投产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821" w:type="dxa"/>
            <w:gridSpan w:val="2"/>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合计</w:t>
            </w:r>
          </w:p>
        </w:tc>
        <w:tc>
          <w:tcPr>
            <w:tcW w:w="164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917"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80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4800</w:t>
            </w:r>
          </w:p>
        </w:tc>
        <w:tc>
          <w:tcPr>
            <w:tcW w:w="7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106</w:t>
            </w:r>
          </w:p>
        </w:tc>
        <w:tc>
          <w:tcPr>
            <w:tcW w:w="180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87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93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345" w:type="dxa"/>
            <w:tcBorders>
              <w:top w:val="single" w:color="auto" w:sz="4" w:space="0"/>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kern w:val="2"/>
                <w:sz w:val="21"/>
                <w:szCs w:val="21"/>
                <w:highlight w:val="none"/>
                <w:lang w:val="en-US" w:eastAsia="zh-CN" w:bidi="ar-SA"/>
              </w:rPr>
              <w:t>1</w:t>
            </w:r>
          </w:p>
        </w:tc>
        <w:tc>
          <w:tcPr>
            <w:tcW w:w="476" w:type="dxa"/>
            <w:tcBorders>
              <w:top w:val="single" w:color="auto" w:sz="4" w:space="0"/>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大同市</w:t>
            </w:r>
          </w:p>
        </w:tc>
        <w:tc>
          <w:tcPr>
            <w:tcW w:w="1640" w:type="dxa"/>
            <w:tcBorders>
              <w:top w:val="single" w:color="auto" w:sz="4" w:space="0"/>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大同富乔生活垃圾焚烧发电三期扩容项目</w:t>
            </w:r>
            <w:r>
              <w:rPr>
                <w:rFonts w:hint="default" w:ascii="Times New Roman" w:hAnsi="Times New Roman" w:eastAsia="仿宋" w:cs="Times New Roman"/>
                <w:color w:val="auto"/>
                <w:sz w:val="21"/>
                <w:szCs w:val="21"/>
                <w:highlight w:val="none"/>
                <w:vertAlign w:val="superscript"/>
                <w:lang w:val="en-US" w:eastAsia="zh-CN"/>
              </w:rPr>
              <w:t>1</w:t>
            </w:r>
          </w:p>
        </w:tc>
        <w:tc>
          <w:tcPr>
            <w:tcW w:w="917"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云冈区</w:t>
            </w:r>
          </w:p>
        </w:tc>
        <w:tc>
          <w:tcPr>
            <w:tcW w:w="80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700</w:t>
            </w:r>
          </w:p>
        </w:tc>
        <w:tc>
          <w:tcPr>
            <w:tcW w:w="7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1800" w:type="dxa"/>
            <w:tcBorders>
              <w:top w:val="single" w:color="auto" w:sz="4" w:space="0"/>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平城区、云冈区、新荣区、云州区、左云县</w:t>
            </w:r>
          </w:p>
        </w:tc>
        <w:tc>
          <w:tcPr>
            <w:tcW w:w="873" w:type="dxa"/>
            <w:tcBorders>
              <w:top w:val="single" w:color="auto" w:sz="4" w:space="0"/>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2025.5</w:t>
            </w:r>
          </w:p>
        </w:tc>
        <w:tc>
          <w:tcPr>
            <w:tcW w:w="93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34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kern w:val="2"/>
                <w:sz w:val="21"/>
                <w:szCs w:val="21"/>
                <w:highlight w:val="none"/>
                <w:lang w:val="en-US" w:eastAsia="zh-CN" w:bidi="ar-SA"/>
              </w:rPr>
              <w:t>2</w:t>
            </w:r>
          </w:p>
        </w:tc>
        <w:tc>
          <w:tcPr>
            <w:tcW w:w="476"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长治市</w:t>
            </w:r>
          </w:p>
        </w:tc>
        <w:tc>
          <w:tcPr>
            <w:tcW w:w="164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长治市主城区生活垃圾无害化处理项目（二期）</w:t>
            </w:r>
          </w:p>
        </w:tc>
        <w:tc>
          <w:tcPr>
            <w:tcW w:w="917"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潞州区</w:t>
            </w:r>
          </w:p>
        </w:tc>
        <w:tc>
          <w:tcPr>
            <w:tcW w:w="80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7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80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潞州区、上党区、潞城区、屯留区、平顺县、壶关县、黎城县、襄垣县</w:t>
            </w:r>
          </w:p>
        </w:tc>
        <w:tc>
          <w:tcPr>
            <w:tcW w:w="87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2027.5</w:t>
            </w:r>
          </w:p>
        </w:tc>
        <w:tc>
          <w:tcPr>
            <w:tcW w:w="93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34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3</w:t>
            </w:r>
          </w:p>
        </w:tc>
        <w:tc>
          <w:tcPr>
            <w:tcW w:w="476"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4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长治北部垃圾焚烧发电项目（沁县）</w:t>
            </w:r>
          </w:p>
        </w:tc>
        <w:tc>
          <w:tcPr>
            <w:tcW w:w="917"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沁县</w:t>
            </w:r>
          </w:p>
        </w:tc>
        <w:tc>
          <w:tcPr>
            <w:tcW w:w="80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7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80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沁县、武乡县、沁源县</w:t>
            </w:r>
          </w:p>
        </w:tc>
        <w:tc>
          <w:tcPr>
            <w:tcW w:w="87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2026.5</w:t>
            </w:r>
          </w:p>
        </w:tc>
        <w:tc>
          <w:tcPr>
            <w:tcW w:w="93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34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4</w:t>
            </w:r>
          </w:p>
        </w:tc>
        <w:tc>
          <w:tcPr>
            <w:tcW w:w="476"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晋城市</w:t>
            </w:r>
          </w:p>
        </w:tc>
        <w:tc>
          <w:tcPr>
            <w:tcW w:w="164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晋城市生活垃圾焚烧发电扩建项目</w:t>
            </w:r>
          </w:p>
        </w:tc>
        <w:tc>
          <w:tcPr>
            <w:tcW w:w="917"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泽州县</w:t>
            </w:r>
          </w:p>
        </w:tc>
        <w:tc>
          <w:tcPr>
            <w:tcW w:w="80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7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80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城区、泽州县、高平市</w:t>
            </w:r>
          </w:p>
        </w:tc>
        <w:tc>
          <w:tcPr>
            <w:tcW w:w="87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2026.10</w:t>
            </w:r>
          </w:p>
        </w:tc>
        <w:tc>
          <w:tcPr>
            <w:tcW w:w="93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34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5</w:t>
            </w:r>
          </w:p>
        </w:tc>
        <w:tc>
          <w:tcPr>
            <w:tcW w:w="476"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4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阳城县城乡垃圾综合处理项目</w:t>
            </w:r>
          </w:p>
        </w:tc>
        <w:tc>
          <w:tcPr>
            <w:tcW w:w="917"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阳城县</w:t>
            </w:r>
          </w:p>
        </w:tc>
        <w:tc>
          <w:tcPr>
            <w:tcW w:w="80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900（其中生活垃圾400）</w:t>
            </w:r>
          </w:p>
        </w:tc>
        <w:tc>
          <w:tcPr>
            <w:tcW w:w="7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180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阳城县</w:t>
            </w:r>
          </w:p>
        </w:tc>
        <w:tc>
          <w:tcPr>
            <w:tcW w:w="87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2024.6</w:t>
            </w:r>
          </w:p>
        </w:tc>
        <w:tc>
          <w:tcPr>
            <w:tcW w:w="93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34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6</w:t>
            </w:r>
          </w:p>
        </w:tc>
        <w:tc>
          <w:tcPr>
            <w:tcW w:w="476" w:type="dxa"/>
            <w:vMerge w:val="restart"/>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晋中市</w:t>
            </w:r>
          </w:p>
        </w:tc>
        <w:tc>
          <w:tcPr>
            <w:tcW w:w="164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晋中市城区生活垃圾焚烧发电扩建项目</w:t>
            </w:r>
          </w:p>
        </w:tc>
        <w:tc>
          <w:tcPr>
            <w:tcW w:w="917"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榆次区</w:t>
            </w:r>
          </w:p>
        </w:tc>
        <w:tc>
          <w:tcPr>
            <w:tcW w:w="80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600</w:t>
            </w:r>
          </w:p>
        </w:tc>
        <w:tc>
          <w:tcPr>
            <w:tcW w:w="7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80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榆次区、太谷区、祁县、寿阳县</w:t>
            </w:r>
          </w:p>
        </w:tc>
        <w:tc>
          <w:tcPr>
            <w:tcW w:w="87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2025.6</w:t>
            </w:r>
          </w:p>
        </w:tc>
        <w:tc>
          <w:tcPr>
            <w:tcW w:w="93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34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7</w:t>
            </w:r>
          </w:p>
        </w:tc>
        <w:tc>
          <w:tcPr>
            <w:tcW w:w="476" w:type="dxa"/>
            <w:vMerge w:val="continue"/>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p>
        </w:tc>
        <w:tc>
          <w:tcPr>
            <w:tcW w:w="164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和顺县垃圾发电项目</w:t>
            </w:r>
          </w:p>
        </w:tc>
        <w:tc>
          <w:tcPr>
            <w:tcW w:w="917"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和顺县</w:t>
            </w:r>
          </w:p>
        </w:tc>
        <w:tc>
          <w:tcPr>
            <w:tcW w:w="80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800</w:t>
            </w:r>
          </w:p>
        </w:tc>
        <w:tc>
          <w:tcPr>
            <w:tcW w:w="7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180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和顺县、昔阳县、左权县、榆社县</w:t>
            </w:r>
          </w:p>
        </w:tc>
        <w:tc>
          <w:tcPr>
            <w:tcW w:w="87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2026.7</w:t>
            </w:r>
          </w:p>
        </w:tc>
        <w:tc>
          <w:tcPr>
            <w:tcW w:w="93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34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8</w:t>
            </w:r>
          </w:p>
        </w:tc>
        <w:tc>
          <w:tcPr>
            <w:tcW w:w="476"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运城市</w:t>
            </w:r>
          </w:p>
        </w:tc>
        <w:tc>
          <w:tcPr>
            <w:tcW w:w="164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万荣县生活垃圾焚烧发电项目</w:t>
            </w:r>
          </w:p>
        </w:tc>
        <w:tc>
          <w:tcPr>
            <w:tcW w:w="917"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万荣县</w:t>
            </w:r>
          </w:p>
        </w:tc>
        <w:tc>
          <w:tcPr>
            <w:tcW w:w="80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600</w:t>
            </w:r>
          </w:p>
        </w:tc>
        <w:tc>
          <w:tcPr>
            <w:tcW w:w="725"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80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万荣县</w:t>
            </w:r>
          </w:p>
        </w:tc>
        <w:tc>
          <w:tcPr>
            <w:tcW w:w="873"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2025.8</w:t>
            </w:r>
          </w:p>
        </w:tc>
        <w:tc>
          <w:tcPr>
            <w:tcW w:w="938"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rPr>
        <w:tc>
          <w:tcPr>
            <w:tcW w:w="34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w:t>
            </w:r>
          </w:p>
        </w:tc>
        <w:tc>
          <w:tcPr>
            <w:tcW w:w="476"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临汾市</w:t>
            </w:r>
          </w:p>
        </w:tc>
        <w:tc>
          <w:tcPr>
            <w:tcW w:w="1640" w:type="dxa"/>
            <w:tcBorders>
              <w:tl2br w:val="nil"/>
              <w:tr2bl w:val="nil"/>
            </w:tcBorders>
            <w:vAlign w:val="center"/>
          </w:tcPr>
          <w:p>
            <w:pPr>
              <w:pStyle w:val="23"/>
              <w:widowControl w:val="0"/>
              <w:wordWrap/>
              <w:adjustRightInd/>
              <w:snapToGrid w:val="0"/>
              <w:spacing w:line="240" w:lineRule="atLeas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临汾市沿黄区域生活垃圾焚烧发电项目</w:t>
            </w:r>
          </w:p>
        </w:tc>
        <w:tc>
          <w:tcPr>
            <w:tcW w:w="917"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蒲县</w:t>
            </w:r>
          </w:p>
        </w:tc>
        <w:tc>
          <w:tcPr>
            <w:tcW w:w="808"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600</w:t>
            </w:r>
          </w:p>
        </w:tc>
        <w:tc>
          <w:tcPr>
            <w:tcW w:w="725"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800"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大宁县、隰县、永和县、蒲县、吉县、乡宁县、汾西县</w:t>
            </w:r>
          </w:p>
        </w:tc>
        <w:tc>
          <w:tcPr>
            <w:tcW w:w="873"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2025.6</w:t>
            </w:r>
          </w:p>
        </w:tc>
        <w:tc>
          <w:tcPr>
            <w:tcW w:w="938" w:type="dxa"/>
            <w:tcBorders>
              <w:tl2br w:val="nil"/>
              <w:tr2bl w:val="nil"/>
            </w:tcBorders>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2027.12</w:t>
            </w:r>
          </w:p>
        </w:tc>
      </w:tr>
    </w:tbl>
    <w:p>
      <w:pPr>
        <w:widowControl w:val="0"/>
        <w:wordWrap/>
        <w:adjustRightInd/>
        <w:snapToGrid/>
        <w:spacing w:line="360" w:lineRule="auto"/>
        <w:ind w:firstLine="0" w:firstLineChars="0"/>
        <w:jc w:val="both"/>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4"/>
          <w:szCs w:val="21"/>
          <w:highlight w:val="none"/>
          <w:lang w:val="en-US" w:eastAsia="zh-CN"/>
        </w:rPr>
        <w:t>注：</w:t>
      </w:r>
      <w:r>
        <w:rPr>
          <w:rFonts w:hint="default" w:ascii="Times New Roman" w:hAnsi="Times New Roman" w:eastAsia="仿宋" w:cs="Times New Roman"/>
          <w:color w:val="auto"/>
          <w:sz w:val="22"/>
          <w:szCs w:val="22"/>
          <w:highlight w:val="none"/>
          <w:lang w:val="en-US" w:eastAsia="zh-CN"/>
        </w:rPr>
        <w:t>1.项目建成投产后，原大同富乔生活垃圾焚烧发电项目协同处置干化污泥、农林废</w:t>
      </w:r>
    </w:p>
    <w:p>
      <w:pPr>
        <w:widowControl w:val="0"/>
        <w:wordWrap/>
        <w:adjustRightInd/>
        <w:snapToGrid/>
        <w:spacing w:line="360" w:lineRule="auto"/>
        <w:ind w:firstLine="0" w:firstLineChars="0"/>
        <w:jc w:val="both"/>
        <w:textAlignment w:val="auto"/>
        <w:rPr>
          <w:rFonts w:hint="default" w:ascii="Times New Roman" w:hAnsi="Times New Roman" w:eastAsia="仿宋" w:cs="Times New Roman"/>
          <w:color w:val="auto"/>
          <w:sz w:val="22"/>
          <w:szCs w:val="22"/>
          <w:highlight w:val="none"/>
          <w:lang w:val="en-US" w:eastAsia="zh-CN"/>
        </w:rPr>
      </w:pPr>
      <w:r>
        <w:rPr>
          <w:rFonts w:hint="default" w:ascii="Times New Roman" w:hAnsi="Times New Roman" w:eastAsia="仿宋" w:cs="Times New Roman"/>
          <w:color w:val="auto"/>
          <w:sz w:val="22"/>
          <w:szCs w:val="22"/>
          <w:highlight w:val="none"/>
          <w:lang w:val="en-US" w:eastAsia="zh-CN"/>
        </w:rPr>
        <w:t xml:space="preserve">     弃物，处理能力1000吨/日，其中生活垃圾600吨/日。</w:t>
      </w:r>
      <w:bookmarkStart w:id="118" w:name="_Toc25895"/>
      <w:bookmarkStart w:id="119" w:name="_Toc14064"/>
      <w:bookmarkStart w:id="120" w:name="_Toc26306"/>
    </w:p>
    <w:p>
      <w:pPr>
        <w:pStyle w:val="3"/>
        <w:ind w:left="0" w:leftChars="0" w:firstLine="0" w:firstLineChars="0"/>
        <w:jc w:val="center"/>
        <w:outlineLvl w:val="0"/>
        <w:rPr>
          <w:rFonts w:hint="default" w:ascii="Times New Roman" w:hAnsi="Times New Roman" w:eastAsia="仿宋" w:cs="Times New Roman"/>
          <w:b/>
          <w:bCs/>
          <w:color w:val="auto"/>
          <w:kern w:val="2"/>
          <w:sz w:val="32"/>
          <w:szCs w:val="24"/>
          <w:highlight w:val="none"/>
          <w:lang w:val="en-US" w:eastAsia="zh-CN" w:bidi="ar-SA"/>
        </w:rPr>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charSpace="0"/>
        </w:sectPr>
      </w:pPr>
    </w:p>
    <w:p>
      <w:pPr>
        <w:pStyle w:val="3"/>
        <w:ind w:left="0" w:leftChars="0" w:firstLine="0" w:firstLineChars="0"/>
        <w:jc w:val="left"/>
        <w:outlineLvl w:val="0"/>
        <w:rPr>
          <w:rFonts w:hint="default" w:ascii="Times New Roman" w:hAnsi="Times New Roman" w:eastAsia="仿宋" w:cs="Times New Roman"/>
          <w:b/>
          <w:bCs/>
          <w:color w:val="auto"/>
          <w:kern w:val="2"/>
          <w:sz w:val="32"/>
          <w:szCs w:val="24"/>
          <w:highlight w:val="none"/>
          <w:lang w:val="en-US" w:eastAsia="zh-CN" w:bidi="ar-SA"/>
        </w:rPr>
      </w:pPr>
      <w:bookmarkStart w:id="121" w:name="_Toc5796"/>
      <w:r>
        <w:rPr>
          <w:rFonts w:hint="default" w:ascii="Times New Roman" w:hAnsi="Times New Roman" w:eastAsia="黑体" w:cs="Times New Roman"/>
          <w:b w:val="0"/>
          <w:bCs w:val="0"/>
          <w:color w:val="auto"/>
          <w:kern w:val="2"/>
          <w:sz w:val="32"/>
          <w:szCs w:val="32"/>
          <w:highlight w:val="none"/>
          <w:lang w:val="en-US" w:eastAsia="zh-CN" w:bidi="ar-SA"/>
        </w:rPr>
        <w:fldChar w:fldCharType="begin"/>
      </w:r>
      <w:r>
        <w:rPr>
          <w:rFonts w:hint="default" w:ascii="Times New Roman" w:hAnsi="Times New Roman" w:eastAsia="黑体" w:cs="Times New Roman"/>
          <w:b w:val="0"/>
          <w:bCs w:val="0"/>
          <w:color w:val="auto"/>
          <w:kern w:val="2"/>
          <w:sz w:val="32"/>
          <w:szCs w:val="32"/>
          <w:highlight w:val="none"/>
          <w:lang w:val="en-US" w:eastAsia="zh-CN" w:bidi="ar-SA"/>
        </w:rPr>
        <w:instrText xml:space="preserve"> HYPERLINK \l "_Toc36138642" </w:instrText>
      </w:r>
      <w:r>
        <w:rPr>
          <w:rFonts w:hint="default" w:ascii="Times New Roman" w:hAnsi="Times New Roman" w:eastAsia="黑体" w:cs="Times New Roman"/>
          <w:b w:val="0"/>
          <w:bCs w:val="0"/>
          <w:color w:val="auto"/>
          <w:kern w:val="2"/>
          <w:sz w:val="32"/>
          <w:szCs w:val="32"/>
          <w:highlight w:val="none"/>
          <w:lang w:val="en-US" w:eastAsia="zh-CN" w:bidi="ar-SA"/>
        </w:rPr>
        <w:fldChar w:fldCharType="separate"/>
      </w:r>
      <w:r>
        <w:rPr>
          <w:rFonts w:hint="default" w:ascii="Times New Roman" w:hAnsi="Times New Roman" w:eastAsia="黑体" w:cs="Times New Roman"/>
          <w:b w:val="0"/>
          <w:bCs w:val="0"/>
          <w:color w:val="auto"/>
          <w:kern w:val="2"/>
          <w:sz w:val="32"/>
          <w:szCs w:val="32"/>
          <w:highlight w:val="none"/>
          <w:lang w:val="en-US" w:eastAsia="zh-CN" w:bidi="ar-SA"/>
        </w:rPr>
        <w:t>附表4</w:t>
      </w:r>
      <w:r>
        <w:rPr>
          <w:rFonts w:hint="default" w:ascii="Times New Roman" w:hAnsi="Times New Roman" w:eastAsia="黑体" w:cs="Times New Roman"/>
          <w:b w:val="0"/>
          <w:bCs w:val="0"/>
          <w:color w:val="auto"/>
          <w:kern w:val="2"/>
          <w:sz w:val="32"/>
          <w:szCs w:val="32"/>
          <w:highlight w:val="none"/>
          <w:lang w:val="en-US" w:eastAsia="zh-CN" w:bidi="ar-SA"/>
        </w:rPr>
        <w:fldChar w:fldCharType="end"/>
      </w:r>
      <w:bookmarkEnd w:id="121"/>
    </w:p>
    <w:p>
      <w:pPr>
        <w:pStyle w:val="3"/>
        <w:keepLines/>
        <w:widowControl w:val="0"/>
        <w:wordWrap/>
        <w:adjustRightInd/>
        <w:snapToGrid/>
        <w:ind w:firstLine="0" w:firstLineChars="0"/>
        <w:jc w:val="center"/>
        <w:textAlignment w:val="auto"/>
        <w:outlineLvl w:val="0"/>
        <w:rPr>
          <w:rFonts w:hint="default" w:ascii="Times New Roman" w:hAnsi="Times New Roman" w:eastAsia="黑体" w:cs="Times New Roman"/>
          <w:b w:val="0"/>
          <w:bCs w:val="0"/>
          <w:color w:val="auto"/>
          <w:kern w:val="2"/>
          <w:sz w:val="36"/>
          <w:szCs w:val="36"/>
          <w:highlight w:val="none"/>
          <w:lang w:val="en-US" w:eastAsia="zh-CN" w:bidi="ar-SA"/>
        </w:rPr>
      </w:pPr>
      <w:bookmarkStart w:id="122" w:name="_Toc30482"/>
      <w:r>
        <w:rPr>
          <w:rFonts w:hint="default" w:ascii="Times New Roman" w:hAnsi="Times New Roman" w:eastAsia="黑体" w:cs="Times New Roman"/>
          <w:b w:val="0"/>
          <w:bCs w:val="0"/>
          <w:color w:val="auto"/>
          <w:kern w:val="2"/>
          <w:sz w:val="36"/>
          <w:szCs w:val="36"/>
          <w:highlight w:val="none"/>
          <w:lang w:val="en-US" w:eastAsia="zh-CN" w:bidi="ar-SA"/>
        </w:rPr>
        <w:t>山西省生活垃圾焚烧发电储备项目表</w:t>
      </w:r>
      <w:bookmarkEnd w:id="118"/>
      <w:bookmarkEnd w:id="119"/>
      <w:bookmarkEnd w:id="120"/>
      <w:bookmarkEnd w:id="122"/>
    </w:p>
    <w:p>
      <w:pPr>
        <w:jc w:val="right"/>
        <w:rPr>
          <w:rFonts w:hint="default" w:ascii="Times New Roman" w:hAnsi="Times New Roman" w:cs="Times New Roman"/>
          <w:lang w:val="en-US" w:eastAsia="zh-CN"/>
        </w:rPr>
      </w:pPr>
      <w:r>
        <w:rPr>
          <w:rFonts w:hint="default" w:ascii="Times New Roman" w:hAnsi="Times New Roman" w:eastAsia="仿宋" w:cs="Times New Roman"/>
          <w:color w:val="auto"/>
          <w:sz w:val="24"/>
          <w:szCs w:val="24"/>
          <w:highlight w:val="none"/>
          <w:lang w:val="en-US" w:eastAsia="zh-CN"/>
        </w:rPr>
        <w:t>单位：吨/日、兆瓦</w:t>
      </w:r>
    </w:p>
    <w:tbl>
      <w:tblPr>
        <w:tblStyle w:val="18"/>
        <w:tblW w:w="8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64"/>
        <w:gridCol w:w="2753"/>
        <w:gridCol w:w="1338"/>
        <w:gridCol w:w="1227"/>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序号</w:t>
            </w:r>
          </w:p>
        </w:tc>
        <w:tc>
          <w:tcPr>
            <w:tcW w:w="964"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地市</w:t>
            </w:r>
          </w:p>
        </w:tc>
        <w:tc>
          <w:tcPr>
            <w:tcW w:w="2753"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项目名称</w:t>
            </w:r>
          </w:p>
        </w:tc>
        <w:tc>
          <w:tcPr>
            <w:tcW w:w="133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处理能力</w:t>
            </w:r>
          </w:p>
        </w:tc>
        <w:tc>
          <w:tcPr>
            <w:tcW w:w="1227"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装机规模</w:t>
            </w:r>
          </w:p>
        </w:tc>
        <w:tc>
          <w:tcPr>
            <w:tcW w:w="1479"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722" w:type="dxa"/>
            <w:gridSpan w:val="2"/>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合计</w:t>
            </w:r>
          </w:p>
        </w:tc>
        <w:tc>
          <w:tcPr>
            <w:tcW w:w="2753"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p>
        </w:tc>
        <w:tc>
          <w:tcPr>
            <w:tcW w:w="133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2300</w:t>
            </w:r>
          </w:p>
        </w:tc>
        <w:tc>
          <w:tcPr>
            <w:tcW w:w="1227"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54</w:t>
            </w:r>
          </w:p>
        </w:tc>
        <w:tc>
          <w:tcPr>
            <w:tcW w:w="1479"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964"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太原市</w:t>
            </w:r>
          </w:p>
        </w:tc>
        <w:tc>
          <w:tcPr>
            <w:tcW w:w="2753"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古交市生活垃圾焚烧发电项目（储备）</w:t>
            </w:r>
          </w:p>
        </w:tc>
        <w:tc>
          <w:tcPr>
            <w:tcW w:w="133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1227"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479" w:type="dxa"/>
            <w:vMerge w:val="restart"/>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垃圾清运量增长超出预期或规划内项目在2028年底尚未开工建设，递补储备项目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964"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大同市</w:t>
            </w:r>
          </w:p>
        </w:tc>
        <w:tc>
          <w:tcPr>
            <w:tcW w:w="2753"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大同市新荣区再生资源综合利用及垃圾发电项目（储备）</w:t>
            </w:r>
          </w:p>
        </w:tc>
        <w:tc>
          <w:tcPr>
            <w:tcW w:w="133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300</w:t>
            </w:r>
          </w:p>
        </w:tc>
        <w:tc>
          <w:tcPr>
            <w:tcW w:w="1227"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p>
        </w:tc>
        <w:tc>
          <w:tcPr>
            <w:tcW w:w="1479" w:type="dxa"/>
            <w:vMerge w:val="continue"/>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964"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长治市</w:t>
            </w:r>
          </w:p>
        </w:tc>
        <w:tc>
          <w:tcPr>
            <w:tcW w:w="2753"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长治市东部生活垃圾焚烧发电项目（储备）</w:t>
            </w:r>
          </w:p>
        </w:tc>
        <w:tc>
          <w:tcPr>
            <w:tcW w:w="133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1227"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479" w:type="dxa"/>
            <w:vMerge w:val="continue"/>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964"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晋中市</w:t>
            </w:r>
          </w:p>
        </w:tc>
        <w:tc>
          <w:tcPr>
            <w:tcW w:w="2753"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晋中市生活垃圾发电项目（储备）</w:t>
            </w:r>
          </w:p>
        </w:tc>
        <w:tc>
          <w:tcPr>
            <w:tcW w:w="133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1227"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479" w:type="dxa"/>
            <w:vMerge w:val="continue"/>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964"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运城市</w:t>
            </w:r>
          </w:p>
        </w:tc>
        <w:tc>
          <w:tcPr>
            <w:tcW w:w="2753"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运城生活垃圾焚烧发电</w:t>
            </w:r>
          </w:p>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项目（储备）</w:t>
            </w:r>
          </w:p>
        </w:tc>
        <w:tc>
          <w:tcPr>
            <w:tcW w:w="1338"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w:t>
            </w:r>
          </w:p>
        </w:tc>
        <w:tc>
          <w:tcPr>
            <w:tcW w:w="1227" w:type="dxa"/>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c>
          <w:tcPr>
            <w:tcW w:w="1479" w:type="dxa"/>
            <w:vMerge w:val="continue"/>
            <w:vAlign w:val="center"/>
          </w:tcPr>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p>
        </w:tc>
      </w:tr>
    </w:tbl>
    <w:p>
      <w:pPr>
        <w:pStyle w:val="23"/>
        <w:widowControl w:val="0"/>
        <w:wordWrap/>
        <w:adjustRightInd/>
        <w:snapToGrid w:val="0"/>
        <w:spacing w:line="240" w:lineRule="atLeast"/>
        <w:ind w:firstLine="0" w:firstLineChars="0"/>
        <w:textAlignment w:val="auto"/>
        <w:rPr>
          <w:rFonts w:hint="default" w:ascii="Times New Roman" w:hAnsi="Times New Roman" w:eastAsia="仿宋" w:cs="Times New Roman"/>
          <w:color w:val="auto"/>
          <w:sz w:val="21"/>
          <w:szCs w:val="21"/>
          <w:highlight w:val="none"/>
          <w:lang w:val="en-US" w:eastAsia="zh-CN"/>
        </w:rPr>
      </w:pPr>
    </w:p>
    <w:p>
      <w:pPr>
        <w:widowControl/>
        <w:wordWrap/>
        <w:adjustRightInd/>
        <w:snapToGrid/>
        <w:spacing w:line="240" w:lineRule="auto"/>
        <w:ind w:firstLine="0" w:firstLineChars="0"/>
        <w:jc w:val="left"/>
        <w:textAlignment w:val="auto"/>
        <w:rPr>
          <w:rFonts w:hint="default" w:ascii="Times New Roman" w:hAnsi="Times New Roman" w:eastAsia="仿宋" w:cs="Times New Roman"/>
          <w:color w:val="auto"/>
          <w:highlight w:val="none"/>
          <w:lang w:val="en-US" w:eastAsia="zh-CN"/>
        </w:rPr>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charSpace="0"/>
        </w:sectPr>
      </w:pPr>
    </w:p>
    <w:p>
      <w:pPr>
        <w:widowControl w:val="0"/>
        <w:wordWrap/>
        <w:adjustRightInd/>
        <w:snapToGrid/>
        <w:spacing w:line="360" w:lineRule="auto"/>
        <w:ind w:firstLine="0" w:firstLineChars="0"/>
        <w:jc w:val="center"/>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kern w:val="2"/>
          <w:sz w:val="32"/>
          <w:szCs w:val="24"/>
          <w:highlight w:val="none"/>
          <w:lang w:val="en-US" w:eastAsia="zh-CN" w:bidi="ar-SA"/>
        </w:rPr>
        <w:pict>
          <v:shape id="Picture 1" o:spid="_x0000_s1029" type="#_x0000_t75" style="height:664.95pt;width:405.7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pStyle w:val="3"/>
        <w:keepLines/>
        <w:spacing w:line="360" w:lineRule="auto"/>
        <w:ind w:firstLine="0" w:firstLineChars="0"/>
        <w:jc w:val="center"/>
        <w:outlineLvl w:val="0"/>
        <w:rPr>
          <w:rFonts w:hint="default" w:ascii="Times New Roman" w:hAnsi="Times New Roman" w:eastAsia="仿宋" w:cs="Times New Roman"/>
          <w:b/>
          <w:bCs/>
          <w:color w:val="auto"/>
          <w:kern w:val="2"/>
          <w:sz w:val="32"/>
          <w:szCs w:val="24"/>
          <w:highlight w:val="none"/>
          <w:lang w:val="en-US" w:eastAsia="zh-CN" w:bidi="ar-SA"/>
        </w:rPr>
        <w:sectPr>
          <w:footerReference r:id="rId8"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charSpace="0"/>
        </w:sectPr>
      </w:pPr>
      <w:bookmarkStart w:id="123" w:name="_Toc16260"/>
      <w:bookmarkStart w:id="124" w:name="_Toc14167"/>
      <w:r>
        <w:rPr>
          <w:rFonts w:hint="default" w:ascii="Times New Roman" w:hAnsi="Times New Roman" w:eastAsia="黑体" w:cs="Times New Roman"/>
          <w:b w:val="0"/>
          <w:bCs w:val="0"/>
          <w:color w:val="auto"/>
          <w:kern w:val="2"/>
          <w:sz w:val="32"/>
          <w:szCs w:val="32"/>
          <w:highlight w:val="none"/>
          <w:lang w:val="en-US" w:eastAsia="zh-CN" w:bidi="ar-SA"/>
        </w:rPr>
        <w:t>附图1： 已建生活垃圾焚烧</w:t>
      </w:r>
      <w:bookmarkEnd w:id="123"/>
      <w:r>
        <w:rPr>
          <w:rFonts w:hint="default" w:ascii="Times New Roman" w:hAnsi="Times New Roman" w:eastAsia="黑体" w:cs="Times New Roman"/>
          <w:b w:val="0"/>
          <w:bCs w:val="0"/>
          <w:color w:val="auto"/>
          <w:kern w:val="2"/>
          <w:sz w:val="32"/>
          <w:szCs w:val="32"/>
          <w:highlight w:val="none"/>
          <w:lang w:val="en-US" w:eastAsia="zh-CN" w:bidi="ar-SA"/>
        </w:rPr>
        <w:t>项目布局图</w:t>
      </w:r>
      <w:bookmarkEnd w:id="124"/>
    </w:p>
    <w:p>
      <w:pPr>
        <w:widowControl w:val="0"/>
        <w:wordWrap/>
        <w:adjustRightInd/>
        <w:snapToGrid/>
        <w:spacing w:line="240" w:lineRule="auto"/>
        <w:ind w:firstLine="0" w:firstLineChars="0"/>
        <w:jc w:val="center"/>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kern w:val="2"/>
          <w:sz w:val="32"/>
          <w:szCs w:val="24"/>
          <w:highlight w:val="none"/>
          <w:lang w:val="en-US" w:eastAsia="zh-CN" w:bidi="ar-SA"/>
        </w:rPr>
        <w:pict>
          <v:shape id="Picture 6" o:spid="_x0000_s1030" type="#_x0000_t75" style="height:676.6pt;width:412.9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3"/>
        <w:keepLines/>
        <w:spacing w:line="360" w:lineRule="auto"/>
        <w:ind w:firstLine="0" w:firstLineChars="0"/>
        <w:jc w:val="center"/>
        <w:outlineLvl w:val="0"/>
        <w:rPr>
          <w:rFonts w:hint="default" w:ascii="Times New Roman" w:hAnsi="Times New Roman" w:eastAsia="黑体" w:cs="Times New Roman"/>
          <w:b w:val="0"/>
          <w:bCs w:val="0"/>
          <w:color w:val="auto"/>
          <w:kern w:val="2"/>
          <w:sz w:val="32"/>
          <w:szCs w:val="32"/>
          <w:highlight w:val="none"/>
          <w:lang w:val="en-US" w:eastAsia="zh-CN" w:bidi="ar-SA"/>
        </w:rPr>
      </w:pPr>
      <w:bookmarkStart w:id="125" w:name="_Toc30707"/>
      <w:bookmarkStart w:id="126" w:name="_Toc28691"/>
      <w:bookmarkStart w:id="127" w:name="_Toc24647"/>
      <w:bookmarkStart w:id="128" w:name="_Toc24640"/>
      <w:bookmarkStart w:id="129" w:name="_Toc524"/>
      <w:r>
        <w:rPr>
          <w:rFonts w:hint="default" w:ascii="Times New Roman" w:hAnsi="Times New Roman" w:eastAsia="黑体" w:cs="Times New Roman"/>
          <w:b w:val="0"/>
          <w:bCs w:val="0"/>
          <w:color w:val="auto"/>
          <w:kern w:val="2"/>
          <w:sz w:val="32"/>
          <w:szCs w:val="32"/>
          <w:highlight w:val="none"/>
          <w:lang w:val="en-US" w:eastAsia="zh-CN" w:bidi="ar-SA"/>
        </w:rPr>
        <w:t>附图2： 2023—2025年生活垃圾焚烧项目布局</w:t>
      </w:r>
      <w:bookmarkEnd w:id="125"/>
      <w:bookmarkEnd w:id="126"/>
      <w:bookmarkEnd w:id="127"/>
      <w:bookmarkEnd w:id="128"/>
      <w:r>
        <w:rPr>
          <w:rFonts w:hint="default" w:ascii="Times New Roman" w:hAnsi="Times New Roman" w:eastAsia="黑体" w:cs="Times New Roman"/>
          <w:b w:val="0"/>
          <w:bCs w:val="0"/>
          <w:color w:val="auto"/>
          <w:kern w:val="2"/>
          <w:sz w:val="32"/>
          <w:szCs w:val="32"/>
          <w:highlight w:val="none"/>
          <w:lang w:val="en-US" w:eastAsia="zh-CN" w:bidi="ar-SA"/>
        </w:rPr>
        <w:t>图</w:t>
      </w:r>
      <w:bookmarkEnd w:id="129"/>
    </w:p>
    <w:p>
      <w:pPr>
        <w:widowControl w:val="0"/>
        <w:wordWrap/>
        <w:adjustRightInd/>
        <w:snapToGrid/>
        <w:spacing w:line="240" w:lineRule="auto"/>
        <w:ind w:firstLine="0" w:firstLineChars="0"/>
        <w:jc w:val="center"/>
        <w:textAlignment w:val="auto"/>
        <w:outlineLvl w:val="9"/>
        <w:rPr>
          <w:rFonts w:hint="default" w:ascii="Times New Roman" w:hAnsi="Times New Roman" w:eastAsia="仿宋" w:cs="Times New Roman"/>
          <w:b/>
          <w:bCs/>
          <w:color w:val="auto"/>
          <w:highlight w:val="none"/>
          <w:lang w:val="en-US" w:eastAsia="zh-CN"/>
        </w:rPr>
      </w:pPr>
      <w:bookmarkStart w:id="130" w:name="_Toc21859"/>
      <w:r>
        <w:rPr>
          <w:rFonts w:hint="default" w:ascii="Times New Roman" w:hAnsi="Times New Roman" w:eastAsia="仿宋" w:cs="Times New Roman"/>
          <w:b/>
          <w:bCs/>
          <w:color w:val="auto"/>
          <w:kern w:val="2"/>
          <w:sz w:val="32"/>
          <w:szCs w:val="24"/>
          <w:highlight w:val="none"/>
          <w:lang w:val="en-US" w:eastAsia="zh-CN" w:bidi="ar-SA"/>
        </w:rPr>
        <w:pict>
          <v:shape id="Picture 7" o:spid="_x0000_s1031" type="#_x0000_t75" style="height:676.75pt;width:413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3"/>
        <w:keepLines/>
        <w:snapToGrid/>
        <w:ind w:firstLine="0" w:firstLineChars="0"/>
        <w:jc w:val="center"/>
        <w:outlineLvl w:val="0"/>
        <w:rPr>
          <w:rFonts w:hint="default" w:ascii="Times New Roman" w:hAnsi="Times New Roman" w:eastAsia="仿宋" w:cs="Times New Roman"/>
          <w:color w:val="auto"/>
          <w:highlight w:val="none"/>
          <w:lang w:val="en-US" w:eastAsia="zh-CN"/>
        </w:rPr>
      </w:pPr>
      <w:bookmarkStart w:id="131" w:name="_Toc21517"/>
      <w:bookmarkStart w:id="132" w:name="_Toc14837"/>
      <w:bookmarkStart w:id="133" w:name="_Toc4363"/>
      <w:bookmarkStart w:id="134" w:name="_Toc11983"/>
      <w:r>
        <w:rPr>
          <w:rFonts w:hint="default" w:ascii="Times New Roman" w:hAnsi="Times New Roman" w:eastAsia="黑体" w:cs="Times New Roman"/>
          <w:b w:val="0"/>
          <w:bCs w:val="0"/>
          <w:color w:val="auto"/>
          <w:kern w:val="2"/>
          <w:sz w:val="32"/>
          <w:szCs w:val="32"/>
          <w:highlight w:val="none"/>
          <w:lang w:val="en-US" w:eastAsia="zh-CN" w:bidi="ar-SA"/>
        </w:rPr>
        <w:t>附图3： 2026—2030年生活垃圾焚烧项目布局</w:t>
      </w:r>
      <w:bookmarkEnd w:id="130"/>
      <w:bookmarkEnd w:id="131"/>
      <w:bookmarkEnd w:id="132"/>
      <w:bookmarkEnd w:id="133"/>
      <w:r>
        <w:rPr>
          <w:rFonts w:hint="default" w:ascii="Times New Roman" w:hAnsi="Times New Roman" w:eastAsia="黑体" w:cs="Times New Roman"/>
          <w:b w:val="0"/>
          <w:bCs w:val="0"/>
          <w:color w:val="auto"/>
          <w:kern w:val="2"/>
          <w:sz w:val="32"/>
          <w:szCs w:val="32"/>
          <w:highlight w:val="none"/>
          <w:lang w:val="en-US" w:eastAsia="zh-CN" w:bidi="ar-SA"/>
        </w:rPr>
        <w:t>图</w:t>
      </w:r>
      <w:bookmarkEnd w:id="134"/>
    </w:p>
    <w:sectPr>
      <w:pgSz w:w="11906" w:h="16838"/>
      <w:pgMar w:top="720" w:right="1440" w:bottom="1803" w:left="144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方正仿宋_GB2312">
    <w:altName w:val="仿宋"/>
    <w:panose1 w:val="02000000000000000000"/>
    <w:charset w:val="86"/>
    <w:family w:val="auto"/>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楷体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方正仿宋_GB2312" w:cs="Times New Roman"/>
        <w:kern w:val="2"/>
        <w:sz w:val="32"/>
        <w:szCs w:val="24"/>
        <w:lang w:val="en-US" w:eastAsia="zh-CN" w:bidi="ar-SA"/>
      </w:rPr>
      <w:pict>
        <v:shape id="文本框 6" o:spid="_x0000_s1025" type="#_x0000_t202" style="position:absolute;left:0;margin-top:0pt;height:144pt;width:144pt;mso-position-horizontal:center;mso-position-horizontal-relative:margin;mso-wrap-style:none;rotation:0f;z-index:2516602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eastAsia="方正仿宋_GB2312"/>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2</w:t>
                </w:r>
                <w:r>
                  <w:rPr>
                    <w:rFonts w:hint="eastAsia"/>
                    <w:sz w:val="18"/>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方正仿宋_GB2312" w:cs="Times New Roman"/>
        <w:kern w:val="2"/>
        <w:sz w:val="32"/>
        <w:szCs w:val="24"/>
        <w:lang w:val="en-US" w:eastAsia="zh-CN" w:bidi="ar-SA"/>
      </w:rPr>
      <w:pict>
        <v:rect id="文本框 1" o:spid="_x0000_s1026"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9"/>
                </w:pPr>
                <w:r>
                  <w:fldChar w:fldCharType="begin"/>
                </w:r>
                <w:r>
                  <w:instrText xml:space="preserve"> PAGE  \* MERGEFORMAT </w:instrText>
                </w:r>
                <w:r>
                  <w:fldChar w:fldCharType="separate"/>
                </w:r>
                <w:r>
                  <w:t>1</w:t>
                </w:r>
                <w:r>
                  <w:fldChar w:fldCharType="end"/>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方正仿宋_GB2312" w:cs="Times New Roman"/>
        <w:kern w:val="2"/>
        <w:sz w:val="32"/>
        <w:szCs w:val="24"/>
        <w:lang w:val="en-US" w:eastAsia="zh-CN" w:bidi="ar-SA"/>
      </w:rPr>
      <w:pict>
        <v:rect id="文本框 11" o:spid="_x0000_s1027" style="position:absolute;left:0;margin-top:0pt;height:144pt;width:144pt;mso-position-horizontal:center;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9"/>
                </w:pPr>
                <w:r>
                  <w:fldChar w:fldCharType="begin"/>
                </w:r>
                <w:r>
                  <w:instrText xml:space="preserve"> PAGE  \* MERGEFORMAT </w:instrText>
                </w:r>
                <w:r>
                  <w:fldChar w:fldCharType="separate"/>
                </w:r>
                <w:r>
                  <w:t>31</w:t>
                </w:r>
                <w:r>
                  <w:fldChar w:fldCharType="end"/>
                </w:r>
              </w:p>
            </w:txbxContent>
          </v:textbox>
        </v:rect>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YzI0YjRkYTMzYzBlMzBkMWFmNTEyMzIxMTc2ZThiMzgifQ=="/>
  </w:docVars>
  <w:rsids>
    <w:rsidRoot w:val="00000000"/>
    <w:rsid w:val="002C19F6"/>
    <w:rsid w:val="00641E35"/>
    <w:rsid w:val="00933C94"/>
    <w:rsid w:val="00D72F73"/>
    <w:rsid w:val="012402B1"/>
    <w:rsid w:val="016519C1"/>
    <w:rsid w:val="01A73E7C"/>
    <w:rsid w:val="025C6809"/>
    <w:rsid w:val="028B75EF"/>
    <w:rsid w:val="02BD7F0B"/>
    <w:rsid w:val="031C5D26"/>
    <w:rsid w:val="032633D2"/>
    <w:rsid w:val="03575F0B"/>
    <w:rsid w:val="036D00AF"/>
    <w:rsid w:val="03B15B8B"/>
    <w:rsid w:val="03C732B9"/>
    <w:rsid w:val="03D45DD3"/>
    <w:rsid w:val="04A521B7"/>
    <w:rsid w:val="04B638C9"/>
    <w:rsid w:val="04D83DED"/>
    <w:rsid w:val="05527139"/>
    <w:rsid w:val="056E3078"/>
    <w:rsid w:val="05B821F2"/>
    <w:rsid w:val="0630160F"/>
    <w:rsid w:val="06D8439B"/>
    <w:rsid w:val="06F069C1"/>
    <w:rsid w:val="07620814"/>
    <w:rsid w:val="07701431"/>
    <w:rsid w:val="084E5E69"/>
    <w:rsid w:val="087444C7"/>
    <w:rsid w:val="089E0931"/>
    <w:rsid w:val="090E4468"/>
    <w:rsid w:val="091D3BF2"/>
    <w:rsid w:val="09652DED"/>
    <w:rsid w:val="098D3B8C"/>
    <w:rsid w:val="099A265E"/>
    <w:rsid w:val="09E90293"/>
    <w:rsid w:val="0A072FAA"/>
    <w:rsid w:val="0AF67B2D"/>
    <w:rsid w:val="0B1722BE"/>
    <w:rsid w:val="0B6D0D6B"/>
    <w:rsid w:val="0B772A1C"/>
    <w:rsid w:val="0BE8391A"/>
    <w:rsid w:val="0C2A6DAC"/>
    <w:rsid w:val="0C811890"/>
    <w:rsid w:val="0CF91064"/>
    <w:rsid w:val="0E15021D"/>
    <w:rsid w:val="0E7B6CB2"/>
    <w:rsid w:val="0F1A659C"/>
    <w:rsid w:val="0F595641"/>
    <w:rsid w:val="0F6B6D5F"/>
    <w:rsid w:val="0FF52D99"/>
    <w:rsid w:val="101859D5"/>
    <w:rsid w:val="105E4149"/>
    <w:rsid w:val="108871AD"/>
    <w:rsid w:val="10A702D5"/>
    <w:rsid w:val="10EF565F"/>
    <w:rsid w:val="10FF266F"/>
    <w:rsid w:val="119C142F"/>
    <w:rsid w:val="11DD37F5"/>
    <w:rsid w:val="11F34201"/>
    <w:rsid w:val="11FF17F3"/>
    <w:rsid w:val="11FF551A"/>
    <w:rsid w:val="123B45F5"/>
    <w:rsid w:val="13103353"/>
    <w:rsid w:val="13B80076"/>
    <w:rsid w:val="14071DBC"/>
    <w:rsid w:val="14BA1C1A"/>
    <w:rsid w:val="1557566D"/>
    <w:rsid w:val="15617007"/>
    <w:rsid w:val="157A5D4B"/>
    <w:rsid w:val="1581149B"/>
    <w:rsid w:val="159A14B9"/>
    <w:rsid w:val="16581EB6"/>
    <w:rsid w:val="1663076D"/>
    <w:rsid w:val="169361D0"/>
    <w:rsid w:val="16DF591A"/>
    <w:rsid w:val="18701B7B"/>
    <w:rsid w:val="18C75C2D"/>
    <w:rsid w:val="18CA4AE4"/>
    <w:rsid w:val="190B0C48"/>
    <w:rsid w:val="195E7BBF"/>
    <w:rsid w:val="19625ED7"/>
    <w:rsid w:val="1A4B4A89"/>
    <w:rsid w:val="1A4D07B2"/>
    <w:rsid w:val="1A7114AA"/>
    <w:rsid w:val="1A7A42D7"/>
    <w:rsid w:val="1A7B3BAB"/>
    <w:rsid w:val="1C1D12F8"/>
    <w:rsid w:val="1C8474D8"/>
    <w:rsid w:val="1CAE4A99"/>
    <w:rsid w:val="1CBD494D"/>
    <w:rsid w:val="1D1E362E"/>
    <w:rsid w:val="1D576914"/>
    <w:rsid w:val="1D7025D9"/>
    <w:rsid w:val="1E031C59"/>
    <w:rsid w:val="1EB224A8"/>
    <w:rsid w:val="1ED979AD"/>
    <w:rsid w:val="1F730AA4"/>
    <w:rsid w:val="1F9C2D86"/>
    <w:rsid w:val="20AA1E26"/>
    <w:rsid w:val="21001530"/>
    <w:rsid w:val="211C55DD"/>
    <w:rsid w:val="21CF1CF4"/>
    <w:rsid w:val="223C6316"/>
    <w:rsid w:val="229F1A9A"/>
    <w:rsid w:val="230F4B13"/>
    <w:rsid w:val="24BE0FD7"/>
    <w:rsid w:val="25780405"/>
    <w:rsid w:val="2580437A"/>
    <w:rsid w:val="266810E7"/>
    <w:rsid w:val="269E01E7"/>
    <w:rsid w:val="26B16CCA"/>
    <w:rsid w:val="2714366E"/>
    <w:rsid w:val="27411E03"/>
    <w:rsid w:val="2758774E"/>
    <w:rsid w:val="27DF7465"/>
    <w:rsid w:val="28AD37CB"/>
    <w:rsid w:val="28B77875"/>
    <w:rsid w:val="29493441"/>
    <w:rsid w:val="2A090204"/>
    <w:rsid w:val="2A880C91"/>
    <w:rsid w:val="2AC90642"/>
    <w:rsid w:val="2B0E2C74"/>
    <w:rsid w:val="2B226752"/>
    <w:rsid w:val="2B4336FC"/>
    <w:rsid w:val="2B5E72FD"/>
    <w:rsid w:val="2BCB1836"/>
    <w:rsid w:val="2C1105D9"/>
    <w:rsid w:val="2C186AAD"/>
    <w:rsid w:val="2C7D3DDF"/>
    <w:rsid w:val="2C8046E0"/>
    <w:rsid w:val="2C9C273B"/>
    <w:rsid w:val="2D4D255F"/>
    <w:rsid w:val="2DC434A2"/>
    <w:rsid w:val="2DD12008"/>
    <w:rsid w:val="2DE0754F"/>
    <w:rsid w:val="2DF87AD5"/>
    <w:rsid w:val="2EBA3A55"/>
    <w:rsid w:val="2F0E7FC2"/>
    <w:rsid w:val="2F520E3B"/>
    <w:rsid w:val="2F5E5B1E"/>
    <w:rsid w:val="2F600CC5"/>
    <w:rsid w:val="2F713D61"/>
    <w:rsid w:val="30814620"/>
    <w:rsid w:val="309532C1"/>
    <w:rsid w:val="32C203F0"/>
    <w:rsid w:val="32C56DD8"/>
    <w:rsid w:val="339735B1"/>
    <w:rsid w:val="34153282"/>
    <w:rsid w:val="342310E4"/>
    <w:rsid w:val="34781CA2"/>
    <w:rsid w:val="34F769DE"/>
    <w:rsid w:val="352F3B6F"/>
    <w:rsid w:val="3567606C"/>
    <w:rsid w:val="35D466DB"/>
    <w:rsid w:val="36055803"/>
    <w:rsid w:val="362829E1"/>
    <w:rsid w:val="36BD1EDC"/>
    <w:rsid w:val="36C85B07"/>
    <w:rsid w:val="36FE0747"/>
    <w:rsid w:val="3718162A"/>
    <w:rsid w:val="37682375"/>
    <w:rsid w:val="37C95891"/>
    <w:rsid w:val="3814248D"/>
    <w:rsid w:val="38A738D8"/>
    <w:rsid w:val="38D1441F"/>
    <w:rsid w:val="38DC0A08"/>
    <w:rsid w:val="395F4A2E"/>
    <w:rsid w:val="3A00757F"/>
    <w:rsid w:val="3A430DD5"/>
    <w:rsid w:val="3A8863EF"/>
    <w:rsid w:val="3A9A3ED6"/>
    <w:rsid w:val="3AA36ADA"/>
    <w:rsid w:val="3B36794F"/>
    <w:rsid w:val="3B5612E6"/>
    <w:rsid w:val="3B836C5C"/>
    <w:rsid w:val="3B9E2D5F"/>
    <w:rsid w:val="3BF61AB7"/>
    <w:rsid w:val="3C9464DD"/>
    <w:rsid w:val="3CA00003"/>
    <w:rsid w:val="3CB638FF"/>
    <w:rsid w:val="3CFE3C20"/>
    <w:rsid w:val="3D325373"/>
    <w:rsid w:val="3D4059C6"/>
    <w:rsid w:val="3DC83885"/>
    <w:rsid w:val="3DE64F85"/>
    <w:rsid w:val="3E724400"/>
    <w:rsid w:val="3F836EDA"/>
    <w:rsid w:val="3F8843FE"/>
    <w:rsid w:val="405816F2"/>
    <w:rsid w:val="406E6888"/>
    <w:rsid w:val="41825671"/>
    <w:rsid w:val="420B38E3"/>
    <w:rsid w:val="422B389D"/>
    <w:rsid w:val="425B65EB"/>
    <w:rsid w:val="434268E8"/>
    <w:rsid w:val="438A0837"/>
    <w:rsid w:val="439C4351"/>
    <w:rsid w:val="439E60B3"/>
    <w:rsid w:val="446C2178"/>
    <w:rsid w:val="447C536B"/>
    <w:rsid w:val="44D35D7A"/>
    <w:rsid w:val="45454939"/>
    <w:rsid w:val="45BA6F71"/>
    <w:rsid w:val="45D26C8E"/>
    <w:rsid w:val="460D4971"/>
    <w:rsid w:val="466255F0"/>
    <w:rsid w:val="46AF27E0"/>
    <w:rsid w:val="46BA5BDF"/>
    <w:rsid w:val="46FD1ACA"/>
    <w:rsid w:val="476440D7"/>
    <w:rsid w:val="47832AF4"/>
    <w:rsid w:val="47EE4F53"/>
    <w:rsid w:val="480D3F42"/>
    <w:rsid w:val="4859366D"/>
    <w:rsid w:val="499759E5"/>
    <w:rsid w:val="4A8D525B"/>
    <w:rsid w:val="4AE414ED"/>
    <w:rsid w:val="4B182BCD"/>
    <w:rsid w:val="4B380F77"/>
    <w:rsid w:val="4B3E507F"/>
    <w:rsid w:val="4B874579"/>
    <w:rsid w:val="4BA10BFF"/>
    <w:rsid w:val="4BA20C81"/>
    <w:rsid w:val="4C555ECC"/>
    <w:rsid w:val="4C6A56AA"/>
    <w:rsid w:val="4CA301C9"/>
    <w:rsid w:val="4CB052E1"/>
    <w:rsid w:val="4CF4184B"/>
    <w:rsid w:val="4D463BE6"/>
    <w:rsid w:val="4E2926DE"/>
    <w:rsid w:val="4E355783"/>
    <w:rsid w:val="4E6B205A"/>
    <w:rsid w:val="4ED646DF"/>
    <w:rsid w:val="4EDB1E82"/>
    <w:rsid w:val="4F4F59DB"/>
    <w:rsid w:val="4F637D4D"/>
    <w:rsid w:val="4FBC7615"/>
    <w:rsid w:val="4FF602DC"/>
    <w:rsid w:val="50790CC5"/>
    <w:rsid w:val="508B5BEF"/>
    <w:rsid w:val="50AA5AE5"/>
    <w:rsid w:val="51193B9B"/>
    <w:rsid w:val="513534CB"/>
    <w:rsid w:val="513B074E"/>
    <w:rsid w:val="51894E50"/>
    <w:rsid w:val="518B2BD5"/>
    <w:rsid w:val="51C276CF"/>
    <w:rsid w:val="52595FA5"/>
    <w:rsid w:val="52AA6800"/>
    <w:rsid w:val="52B626C2"/>
    <w:rsid w:val="52BC33A0"/>
    <w:rsid w:val="52E6760E"/>
    <w:rsid w:val="52E96D84"/>
    <w:rsid w:val="531760C4"/>
    <w:rsid w:val="53C06547"/>
    <w:rsid w:val="53E36408"/>
    <w:rsid w:val="53E4348D"/>
    <w:rsid w:val="540248E3"/>
    <w:rsid w:val="546D070F"/>
    <w:rsid w:val="54DF2FCC"/>
    <w:rsid w:val="55EB2205"/>
    <w:rsid w:val="55FE47D7"/>
    <w:rsid w:val="560079AE"/>
    <w:rsid w:val="56301324"/>
    <w:rsid w:val="56575A70"/>
    <w:rsid w:val="56E947DE"/>
    <w:rsid w:val="57044ED0"/>
    <w:rsid w:val="57B47272"/>
    <w:rsid w:val="58D07AB7"/>
    <w:rsid w:val="5905591A"/>
    <w:rsid w:val="59421EFC"/>
    <w:rsid w:val="59C94CAD"/>
    <w:rsid w:val="59D4659C"/>
    <w:rsid w:val="59FD5EB2"/>
    <w:rsid w:val="5A3B0686"/>
    <w:rsid w:val="5A832AD0"/>
    <w:rsid w:val="5ADC3C17"/>
    <w:rsid w:val="5B736380"/>
    <w:rsid w:val="5C7912D6"/>
    <w:rsid w:val="5D0E453B"/>
    <w:rsid w:val="5D234D03"/>
    <w:rsid w:val="5DD71A06"/>
    <w:rsid w:val="5DF95885"/>
    <w:rsid w:val="5E0E0901"/>
    <w:rsid w:val="5E467ABB"/>
    <w:rsid w:val="5EBF631E"/>
    <w:rsid w:val="5F1B64DF"/>
    <w:rsid w:val="5F4973A1"/>
    <w:rsid w:val="5FA31F76"/>
    <w:rsid w:val="5FE01DDB"/>
    <w:rsid w:val="607C3E58"/>
    <w:rsid w:val="60D5258A"/>
    <w:rsid w:val="61572FDD"/>
    <w:rsid w:val="62A65A66"/>
    <w:rsid w:val="637A7F2D"/>
    <w:rsid w:val="64964C4D"/>
    <w:rsid w:val="6554084E"/>
    <w:rsid w:val="65A80432"/>
    <w:rsid w:val="65D7409C"/>
    <w:rsid w:val="66646FC3"/>
    <w:rsid w:val="66855930"/>
    <w:rsid w:val="66965664"/>
    <w:rsid w:val="66C877B0"/>
    <w:rsid w:val="67D46B30"/>
    <w:rsid w:val="680A3D14"/>
    <w:rsid w:val="681A7B2C"/>
    <w:rsid w:val="685C1DC4"/>
    <w:rsid w:val="688020CA"/>
    <w:rsid w:val="69056EEB"/>
    <w:rsid w:val="69717C20"/>
    <w:rsid w:val="69E178BF"/>
    <w:rsid w:val="6A6D7EC3"/>
    <w:rsid w:val="6BF22C25"/>
    <w:rsid w:val="6C3E63BD"/>
    <w:rsid w:val="6C4D7608"/>
    <w:rsid w:val="6CBA2A1A"/>
    <w:rsid w:val="6CC83B82"/>
    <w:rsid w:val="6D263022"/>
    <w:rsid w:val="6D7A44D0"/>
    <w:rsid w:val="6F0F2B42"/>
    <w:rsid w:val="700B625D"/>
    <w:rsid w:val="700D7342"/>
    <w:rsid w:val="706E3D83"/>
    <w:rsid w:val="70E16873"/>
    <w:rsid w:val="710F728C"/>
    <w:rsid w:val="71750972"/>
    <w:rsid w:val="719A5A6F"/>
    <w:rsid w:val="72923D21"/>
    <w:rsid w:val="730B6BCA"/>
    <w:rsid w:val="73C72801"/>
    <w:rsid w:val="73D9051D"/>
    <w:rsid w:val="740C10C4"/>
    <w:rsid w:val="755A76EB"/>
    <w:rsid w:val="75FA2A7A"/>
    <w:rsid w:val="7625650E"/>
    <w:rsid w:val="7648622E"/>
    <w:rsid w:val="7652572E"/>
    <w:rsid w:val="76CA40F3"/>
    <w:rsid w:val="76DA48BA"/>
    <w:rsid w:val="7734249D"/>
    <w:rsid w:val="78575155"/>
    <w:rsid w:val="78CC04D9"/>
    <w:rsid w:val="790D1D7D"/>
    <w:rsid w:val="792C25D8"/>
    <w:rsid w:val="796C0E43"/>
    <w:rsid w:val="79880D2B"/>
    <w:rsid w:val="798E358C"/>
    <w:rsid w:val="7A9C1491"/>
    <w:rsid w:val="7B39121D"/>
    <w:rsid w:val="7CBF6C0E"/>
    <w:rsid w:val="7CC75342"/>
    <w:rsid w:val="7CE1176F"/>
    <w:rsid w:val="7CE86B63"/>
    <w:rsid w:val="7D431FA9"/>
    <w:rsid w:val="7D474B4D"/>
    <w:rsid w:val="7D8568E4"/>
    <w:rsid w:val="7E5D609B"/>
    <w:rsid w:val="7E607762"/>
    <w:rsid w:val="7F0864D9"/>
    <w:rsid w:val="7F587E78"/>
    <w:rsid w:val="B3FFE38E"/>
    <w:rsid w:val="BA7B23C6"/>
    <w:rsid w:val="F7F6A557"/>
    <w:rsid w:val="FD3744A8"/>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400" w:firstLineChars="200"/>
      <w:jc w:val="both"/>
    </w:pPr>
    <w:rPr>
      <w:rFonts w:ascii="Times New Roman" w:hAnsi="Times New Roman" w:eastAsia="方正仿宋_GB2312" w:cs="Times New Roman"/>
      <w:kern w:val="2"/>
      <w:sz w:val="32"/>
      <w:szCs w:val="24"/>
      <w:lang w:val="en-US" w:eastAsia="zh-CN" w:bidi="ar-SA"/>
    </w:rPr>
  </w:style>
  <w:style w:type="paragraph" w:styleId="3">
    <w:name w:val="heading 1"/>
    <w:basedOn w:val="1"/>
    <w:next w:val="1"/>
    <w:link w:val="31"/>
    <w:qFormat/>
    <w:uiPriority w:val="0"/>
    <w:pPr>
      <w:keepLines/>
      <w:spacing w:line="360" w:lineRule="auto"/>
      <w:ind w:firstLine="643" w:firstLineChars="200"/>
      <w:jc w:val="left"/>
      <w:outlineLvl w:val="0"/>
    </w:pPr>
    <w:rPr>
      <w:rFonts w:ascii="Times New Roman" w:hAnsi="Times New Roman" w:eastAsia="黑体"/>
      <w:kern w:val="44"/>
    </w:rPr>
  </w:style>
  <w:style w:type="paragraph" w:styleId="4">
    <w:name w:val="heading 2"/>
    <w:basedOn w:val="1"/>
    <w:next w:val="1"/>
    <w:link w:val="32"/>
    <w:qFormat/>
    <w:uiPriority w:val="0"/>
    <w:pPr>
      <w:keepLines/>
      <w:spacing w:line="360" w:lineRule="auto"/>
      <w:ind w:firstLine="643" w:firstLineChars="200"/>
      <w:outlineLvl w:val="1"/>
    </w:pPr>
    <w:rPr>
      <w:rFonts w:ascii="Times New Roman" w:hAnsi="Times New Roman" w:eastAsia="楷体"/>
      <w:b/>
    </w:rPr>
  </w:style>
  <w:style w:type="paragraph" w:styleId="5">
    <w:name w:val="heading 3"/>
    <w:basedOn w:val="1"/>
    <w:next w:val="1"/>
    <w:link w:val="33"/>
    <w:qFormat/>
    <w:uiPriority w:val="0"/>
    <w:pPr>
      <w:keepNext/>
      <w:keepLines/>
      <w:spacing w:before="100" w:after="100" w:line="413" w:lineRule="auto"/>
      <w:ind w:firstLine="0" w:firstLineChars="0"/>
      <w:outlineLvl w:val="2"/>
    </w:pPr>
    <w:rPr>
      <w:b/>
    </w:rPr>
  </w:style>
  <w:style w:type="paragraph" w:styleId="6">
    <w:name w:val="heading 4"/>
    <w:basedOn w:val="1"/>
    <w:next w:val="1"/>
    <w:qFormat/>
    <w:uiPriority w:val="0"/>
    <w:pPr>
      <w:keepNext/>
      <w:keepLines/>
      <w:spacing w:line="240" w:lineRule="auto"/>
      <w:jc w:val="center"/>
      <w:outlineLvl w:val="3"/>
    </w:pPr>
    <w:rPr>
      <w:rFonts w:ascii="Times New Roman" w:hAnsi="Times New Roman"/>
      <w:b/>
      <w:sz w:val="24"/>
    </w:rPr>
  </w:style>
  <w:style w:type="character" w:default="1" w:styleId="15">
    <w:name w:val="Default Paragraph Font"/>
    <w:qFormat/>
    <w:uiPriority w:val="1"/>
  </w:style>
  <w:style w:type="table" w:default="1" w:styleId="18">
    <w:name w:val="Normal Table"/>
    <w:qFormat/>
    <w:uiPriority w:val="0"/>
    <w:tblPr>
      <w:tblStyle w:val="18"/>
      <w:tblLayout w:type="fixed"/>
      <w:tblCellMar>
        <w:top w:w="0" w:type="dxa"/>
        <w:left w:w="108" w:type="dxa"/>
        <w:bottom w:w="0" w:type="dxa"/>
        <w:right w:w="108" w:type="dxa"/>
      </w:tblCellMar>
    </w:tblPr>
    <w:tcPr>
      <w:textDirection w:val="lrTb"/>
    </w:tcPr>
  </w:style>
  <w:style w:type="paragraph" w:styleId="2">
    <w:name w:val="Normal Indent"/>
    <w:basedOn w:val="1"/>
    <w:next w:val="1"/>
    <w:qFormat/>
    <w:uiPriority w:val="0"/>
    <w:pPr>
      <w:ind w:firstLine="420" w:firstLineChars="200"/>
    </w:pPr>
    <w:rPr>
      <w:rFonts w:ascii="宋体" w:hAnsi="宋体" w:cs="宋体"/>
      <w:color w:val="000000"/>
      <w:sz w:val="24"/>
      <w:szCs w:val="22"/>
    </w:rPr>
  </w:style>
  <w:style w:type="paragraph" w:styleId="7">
    <w:name w:val="annotation text"/>
    <w:basedOn w:val="1"/>
    <w:qFormat/>
    <w:uiPriority w:val="0"/>
    <w:pPr>
      <w:jc w:val="left"/>
    </w:pPr>
  </w:style>
  <w:style w:type="paragraph" w:styleId="8">
    <w:name w:val="Body Text"/>
    <w:basedOn w:val="1"/>
    <w:next w:val="1"/>
    <w:qFormat/>
    <w:uiPriority w:val="1"/>
    <w:pPr>
      <w:spacing w:before="190"/>
      <w:ind w:left="420"/>
    </w:pPr>
    <w:rPr>
      <w:rFonts w:ascii="宋体" w:hAnsi="宋体" w:cs="宋体"/>
      <w:szCs w:val="32"/>
      <w:lang w:val="zh-CN" w:bidi="zh-CN"/>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39"/>
    <w:pPr>
      <w:spacing w:line="360" w:lineRule="auto"/>
      <w:jc w:val="left"/>
    </w:pPr>
    <w:rPr>
      <w:rFonts w:cs="Calibri"/>
      <w:b/>
      <w:bCs/>
      <w:caps/>
      <w:sz w:val="28"/>
      <w:szCs w:val="20"/>
    </w:rPr>
  </w:style>
  <w:style w:type="paragraph" w:styleId="12">
    <w:name w:val="toc 2"/>
    <w:basedOn w:val="1"/>
    <w:next w:val="1"/>
    <w:qFormat/>
    <w:uiPriority w:val="39"/>
    <w:pPr>
      <w:spacing w:line="360" w:lineRule="auto"/>
      <w:ind w:left="210"/>
      <w:jc w:val="left"/>
    </w:pPr>
    <w:rPr>
      <w:rFonts w:cs="Calibri"/>
      <w:smallCaps/>
      <w:sz w:val="24"/>
      <w:szCs w:val="20"/>
    </w:rPr>
  </w:style>
  <w:style w:type="paragraph" w:styleId="13">
    <w:name w:val="Normal (Web)"/>
    <w:basedOn w:val="1"/>
    <w:qFormat/>
    <w:uiPriority w:val="0"/>
    <w:pPr>
      <w:spacing w:before="0" w:beforeAutospacing="1" w:after="0" w:afterAutospacing="1"/>
      <w:ind w:left="0" w:right="0"/>
      <w:jc w:val="left"/>
    </w:pPr>
    <w:rPr>
      <w:kern w:val="0"/>
      <w:sz w:val="24"/>
      <w:lang w:val="en-US" w:eastAsia="zh-CN"/>
    </w:rPr>
  </w:style>
  <w:style w:type="paragraph" w:styleId="14">
    <w:name w:val="Title"/>
    <w:basedOn w:val="1"/>
    <w:next w:val="1"/>
    <w:qFormat/>
    <w:uiPriority w:val="0"/>
    <w:pPr>
      <w:spacing w:before="240" w:after="60"/>
      <w:jc w:val="center"/>
      <w:outlineLvl w:val="0"/>
    </w:pPr>
    <w:rPr>
      <w:rFonts w:ascii="Arial" w:hAnsi="Arial" w:cs="Arial"/>
      <w:b/>
      <w:bCs/>
      <w:sz w:val="48"/>
      <w:szCs w:val="32"/>
    </w:rPr>
  </w:style>
  <w:style w:type="character" w:styleId="16">
    <w:name w:val="Strong"/>
    <w:basedOn w:val="15"/>
    <w:qFormat/>
    <w:uiPriority w:val="0"/>
    <w:rPr>
      <w:b/>
    </w:rPr>
  </w:style>
  <w:style w:type="character" w:styleId="17">
    <w:name w:val="Hyperlink"/>
    <w:basedOn w:val="15"/>
    <w:qFormat/>
    <w:uiPriority w:val="99"/>
    <w:rPr>
      <w:color w:val="0000FF"/>
      <w:u w:val="single"/>
    </w:rPr>
  </w:style>
  <w:style w:type="table" w:styleId="19">
    <w:name w:val="Table Grid"/>
    <w:basedOn w:val="18"/>
    <w:qFormat/>
    <w:uiPriority w:val="0"/>
    <w:pPr>
      <w:widowControl w:val="0"/>
      <w:jc w:val="both"/>
    </w:pPr>
    <w:tblPr>
      <w:tblStyle w:val="1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20">
    <w:name w:val="二级标题"/>
    <w:basedOn w:val="1"/>
    <w:qFormat/>
    <w:uiPriority w:val="0"/>
    <w:pPr>
      <w:widowControl/>
      <w:shd w:val="clear" w:color="auto" w:fill="FFFFFF"/>
      <w:spacing w:after="180"/>
      <w:jc w:val="center"/>
      <w:outlineLvl w:val="0"/>
    </w:pPr>
    <w:rPr>
      <w:rFonts w:ascii="Times New Roman" w:hAnsi="Times New Roman" w:eastAsia="仿宋" w:cs="Times New Roman"/>
      <w:b/>
      <w:bCs/>
      <w:color w:val="333333"/>
      <w:kern w:val="0"/>
      <w:sz w:val="28"/>
      <w:szCs w:val="28"/>
      <w:shd w:val="clear" w:color="auto" w:fill="FFFFFF"/>
    </w:rPr>
  </w:style>
  <w:style w:type="paragraph" w:customStyle="1" w:styleId="21">
    <w:name w:val="地质灾害正文的"/>
    <w:basedOn w:val="1"/>
    <w:qFormat/>
    <w:uiPriority w:val="0"/>
    <w:pPr>
      <w:widowControl/>
      <w:shd w:val="clear" w:color="auto" w:fill="FFFFFF"/>
      <w:ind w:firstLine="560" w:firstLineChars="200"/>
    </w:pPr>
    <w:rPr>
      <w:rFonts w:ascii="Times New Roman" w:hAnsi="Times New Roman" w:eastAsia="仿宋" w:cs="Times New Roman"/>
      <w:color w:val="191919"/>
      <w:sz w:val="28"/>
      <w:szCs w:val="28"/>
      <w:shd w:val="clear" w:color="auto" w:fill="FFFFFF"/>
    </w:rPr>
  </w:style>
  <w:style w:type="paragraph" w:customStyle="1" w:styleId="22">
    <w:name w:val="正文2"/>
    <w:basedOn w:val="1"/>
    <w:qFormat/>
    <w:uiPriority w:val="0"/>
    <w:pPr>
      <w:ind w:firstLine="200"/>
    </w:pPr>
  </w:style>
  <w:style w:type="paragraph" w:customStyle="1" w:styleId="23">
    <w:name w:val="表格文字"/>
    <w:basedOn w:val="1"/>
    <w:qFormat/>
    <w:uiPriority w:val="0"/>
    <w:pPr>
      <w:spacing w:line="360" w:lineRule="auto"/>
      <w:ind w:firstLine="0" w:firstLineChars="0"/>
      <w:jc w:val="center"/>
    </w:pPr>
    <w:rPr>
      <w:rFonts w:ascii="Times New Roman" w:hAnsi="Times New Roman" w:eastAsia="方正仿宋_GB2312"/>
      <w:bCs/>
      <w:color w:val="000000"/>
      <w:sz w:val="24"/>
    </w:rPr>
  </w:style>
  <w:style w:type="paragraph" w:customStyle="1" w:styleId="24">
    <w:name w:val="图"/>
    <w:basedOn w:val="1"/>
    <w:qFormat/>
    <w:uiPriority w:val="0"/>
    <w:pPr>
      <w:widowControl/>
      <w:spacing w:line="360" w:lineRule="auto"/>
      <w:ind w:firstLine="0" w:firstLineChars="0"/>
      <w:jc w:val="center"/>
    </w:pPr>
    <w:rPr>
      <w:rFonts w:ascii="Times New Roman" w:hAnsi="Times New Roman" w:cs="Times New Roman"/>
      <w:kern w:val="0"/>
      <w:sz w:val="24"/>
      <w:szCs w:val="20"/>
    </w:rPr>
  </w:style>
  <w:style w:type="paragraph" w:customStyle="1" w:styleId="25">
    <w:name w:val="表题目"/>
    <w:basedOn w:val="1"/>
    <w:qFormat/>
    <w:uiPriority w:val="0"/>
    <w:pPr>
      <w:spacing w:before="60" w:after="60"/>
      <w:ind w:firstLine="0" w:firstLineChars="0"/>
      <w:jc w:val="center"/>
      <w:outlineLvl w:val="9"/>
    </w:pPr>
    <w:rPr>
      <w:rFonts w:ascii="Times New Roman" w:hAnsi="Times New Roman" w:eastAsia="宋体"/>
      <w:b/>
      <w:bCs/>
      <w:sz w:val="24"/>
    </w:rPr>
  </w:style>
  <w:style w:type="paragraph" w:customStyle="1" w:styleId="26">
    <w:name w:val="Style1"/>
    <w:basedOn w:val="2"/>
    <w:qFormat/>
    <w:uiPriority w:val="99"/>
    <w:pPr>
      <w:tabs>
        <w:tab w:val="left" w:pos="-720"/>
      </w:tabs>
      <w:spacing w:line="560" w:lineRule="exact"/>
    </w:pPr>
    <w:rPr>
      <w:rFonts w:ascii="Times New Roman" w:hAnsi="Times New Roman" w:cs="Times New Roman"/>
      <w:spacing w:val="-3"/>
      <w:kern w:val="0"/>
      <w:sz w:val="32"/>
      <w:szCs w:val="20"/>
      <w:lang w:eastAsia="en-US"/>
    </w:rPr>
  </w:style>
  <w:style w:type="paragraph" w:customStyle="1" w:styleId="27">
    <w:name w:val="Body text|1"/>
    <w:basedOn w:val="1"/>
    <w:qFormat/>
    <w:uiPriority w:val="0"/>
    <w:pPr>
      <w:widowControl w:val="0"/>
      <w:shd w:val="clear" w:color="auto" w:fill="auto"/>
      <w:spacing w:line="403" w:lineRule="auto"/>
      <w:ind w:firstLine="400"/>
    </w:pPr>
    <w:rPr>
      <w:rFonts w:ascii="宋体" w:hAnsi="宋体" w:eastAsia="宋体" w:cs="宋体"/>
      <w:sz w:val="30"/>
      <w:szCs w:val="30"/>
      <w:u w:val="none"/>
      <w:shd w:val="clear" w:color="auto" w:fill="auto"/>
      <w:lang w:val="zh-TW" w:eastAsia="zh-TW" w:bidi="zh-TW"/>
    </w:rPr>
  </w:style>
  <w:style w:type="paragraph" w:customStyle="1" w:styleId="28">
    <w:name w:val="Header or footer|1"/>
    <w:basedOn w:val="1"/>
    <w:qFormat/>
    <w:uiPriority w:val="0"/>
    <w:pPr>
      <w:widowControl w:val="0"/>
      <w:shd w:val="clear" w:color="auto" w:fill="auto"/>
      <w:jc w:val="right"/>
    </w:pPr>
    <w:rPr>
      <w:sz w:val="28"/>
      <w:szCs w:val="28"/>
      <w:u w:val="none"/>
      <w:shd w:val="clear" w:color="auto" w:fill="auto"/>
      <w:lang w:val="zh-TW" w:eastAsia="zh-TW" w:bidi="zh-TW"/>
    </w:rPr>
  </w:style>
  <w:style w:type="paragraph" w:customStyle="1" w:styleId="29">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30">
    <w:name w:val="WPSOffice手动目录 2"/>
    <w:qFormat/>
    <w:uiPriority w:val="0"/>
    <w:pPr>
      <w:ind w:leftChars="200"/>
    </w:pPr>
    <w:rPr>
      <w:rFonts w:ascii="Times New Roman" w:hAnsi="Times New Roman" w:eastAsia="宋体" w:cs="Times New Roman"/>
      <w:sz w:val="20"/>
      <w:szCs w:val="20"/>
      <w:lang w:val="en-US" w:eastAsia="zh-CN" w:bidi="ar-SA"/>
    </w:rPr>
  </w:style>
  <w:style w:type="character" w:customStyle="1" w:styleId="31">
    <w:name w:val="标题 1 字符"/>
    <w:link w:val="3"/>
    <w:qFormat/>
    <w:uiPriority w:val="0"/>
    <w:rPr>
      <w:rFonts w:ascii="Times New Roman" w:hAnsi="Times New Roman" w:eastAsia="黑体"/>
      <w:kern w:val="44"/>
      <w:sz w:val="32"/>
    </w:rPr>
  </w:style>
  <w:style w:type="character" w:customStyle="1" w:styleId="32">
    <w:name w:val="标题 2 字符"/>
    <w:basedOn w:val="15"/>
    <w:link w:val="4"/>
    <w:qFormat/>
    <w:uiPriority w:val="0"/>
    <w:rPr>
      <w:rFonts w:ascii="Times New Roman" w:hAnsi="Times New Roman" w:eastAsia="楷体" w:cs="Times New Roman"/>
      <w:b/>
      <w:kern w:val="2"/>
      <w:sz w:val="32"/>
      <w:szCs w:val="24"/>
    </w:rPr>
  </w:style>
  <w:style w:type="character" w:customStyle="1" w:styleId="33">
    <w:name w:val="标题 3 Char"/>
    <w:basedOn w:val="15"/>
    <w:link w:val="5"/>
    <w:qFormat/>
    <w:uiPriority w:val="9"/>
    <w:rPr>
      <w:rFonts w:ascii="Times New Roman" w:hAnsi="Times New Roman" w:eastAsia="宋体" w:cs="Times New Roman"/>
      <w:b/>
      <w:kern w:val="2"/>
      <w:sz w:val="28"/>
      <w:szCs w:val="24"/>
    </w:rPr>
  </w:style>
  <w:style w:type="character" w:customStyle="1" w:styleId="34">
    <w:name w:val="font41"/>
    <w:basedOn w:val="15"/>
    <w:qFormat/>
    <w:uiPriority w:val="0"/>
    <w:rPr>
      <w:rFonts w:hint="eastAsia" w:ascii="宋体" w:hAnsi="宋体" w:eastAsia="宋体" w:cs="宋体"/>
      <w:color w:val="000000"/>
      <w:sz w:val="24"/>
      <w:szCs w:val="24"/>
      <w:u w:val="none"/>
    </w:rPr>
  </w:style>
  <w:style w:type="character" w:customStyle="1" w:styleId="35">
    <w:name w:val="font51"/>
    <w:basedOn w:val="15"/>
    <w:qFormat/>
    <w:uiPriority w:val="0"/>
    <w:rPr>
      <w:rFonts w:hint="default" w:ascii="Times New Roman" w:hAnsi="Times New Roman" w:cs="Times New Roman"/>
      <w:color w:val="000000"/>
      <w:sz w:val="24"/>
      <w:szCs w:val="24"/>
      <w:u w:val="none"/>
    </w:rPr>
  </w:style>
  <w:style w:type="character" w:customStyle="1" w:styleId="36">
    <w:name w:val="font11"/>
    <w:basedOn w:val="15"/>
    <w:qFormat/>
    <w:uiPriority w:val="0"/>
    <w:rPr>
      <w:rFonts w:hint="eastAsia" w:ascii="宋体" w:hAnsi="宋体" w:eastAsia="宋体" w:cs="宋体"/>
      <w:color w:val="000000"/>
      <w:sz w:val="22"/>
      <w:szCs w:val="22"/>
      <w:u w:val="none"/>
    </w:rPr>
  </w:style>
  <w:style w:type="character" w:customStyle="1" w:styleId="37">
    <w:name w:val="font61"/>
    <w:basedOn w:val="15"/>
    <w:qFormat/>
    <w:uiPriority w:val="0"/>
    <w:rPr>
      <w:rFonts w:hint="default" w:ascii="Times New Roman" w:hAnsi="Times New Roman" w:cs="Times New Roman"/>
      <w:color w:val="000000"/>
      <w:sz w:val="22"/>
      <w:szCs w:val="22"/>
      <w:u w:val="none"/>
    </w:rPr>
  </w:style>
  <w:style w:type="character" w:customStyle="1" w:styleId="38">
    <w:name w:val="font01"/>
    <w:basedOn w:val="15"/>
    <w:qFormat/>
    <w:uiPriority w:val="0"/>
    <w:rPr>
      <w:rFonts w:hint="default" w:ascii="Times New Roman" w:hAnsi="Times New Roman" w:cs="Times New Roman"/>
      <w:color w:val="000000"/>
      <w:sz w:val="22"/>
      <w:szCs w:val="22"/>
      <w:u w:val="none"/>
    </w:rPr>
  </w:style>
  <w:style w:type="character" w:customStyle="1" w:styleId="39">
    <w:name w:val="font21"/>
    <w:basedOn w:val="15"/>
    <w:qFormat/>
    <w:uiPriority w:val="0"/>
    <w:rPr>
      <w:rFonts w:hint="eastAsia" w:ascii="宋体" w:hAnsi="宋体" w:eastAsia="宋体" w:cs="宋体"/>
      <w:color w:val="000000"/>
      <w:sz w:val="24"/>
      <w:szCs w:val="24"/>
      <w:u w:val="none"/>
    </w:rPr>
  </w:style>
  <w:style w:type="character" w:customStyle="1" w:styleId="40">
    <w:name w:val="font31"/>
    <w:basedOn w:val="15"/>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settings" Target="settings.xml"/><Relationship Id="rId2" Type="http://schemas.openxmlformats.org/officeDocument/2006/relationships/styles" Target="styles.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15735</Words>
  <Characters>17412</Characters>
  <Lines>0</Lines>
  <Paragraphs>3380</Paragraphs>
  <ScaleCrop>false</ScaleCrop>
  <LinksUpToDate>false</LinksUpToDate>
  <CharactersWithSpaces>0</CharactersWithSpaces>
  <Application>WPS Office 专业版_9.1.0.4798_{F1E327BC-269C-435d-A152-05C5408002CA}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2022-09-29T01:45:00Z</dcterms:created>
  <dc:creator>焦晓飞</dc:creator>
  <cp:lastModifiedBy>郭敏</cp:lastModifiedBy>
  <cp:lastPrinted>2023-06-02T01:42:00Z</cp:lastPrinted>
  <dcterms:modified xsi:type="dcterms:W3CDTF">2023-06-15T03:50:19Z</dcterms:modified>
  <dc:title>《山西省垃圾焚烧发电中长期专项规划（2023年修订）》</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y fmtid="{D5CDD505-2E9C-101B-9397-08002B2CF9AE}" pid="3" name="ICV">
    <vt:lpwstr>F6EA9954DFD5404FA17834FD8EA736A7</vt:lpwstr>
  </property>
</Properties>
</file>